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A289" w14:textId="77777777" w:rsidR="00620B48" w:rsidRPr="00620B48" w:rsidRDefault="00620B48" w:rsidP="00620B48">
      <w:pPr>
        <w:pStyle w:val="sezione"/>
        <w:rPr>
          <w:rFonts w:asciiTheme="minorHAnsi" w:eastAsiaTheme="minorEastAsia" w:hAnsiTheme="minorHAnsi" w:cstheme="minorHAnsi"/>
          <w:color w:val="000000" w:themeColor="text1"/>
        </w:rPr>
      </w:pPr>
      <w:bookmarkStart w:id="0" w:name="_Toc127550974"/>
      <w:r w:rsidRPr="00620B48">
        <w:rPr>
          <w:rFonts w:asciiTheme="minorHAnsi" w:eastAsiaTheme="minorEastAsia" w:hAnsiTheme="minorHAnsi" w:cstheme="minorHAnsi"/>
          <w:color w:val="000000" w:themeColor="text1"/>
        </w:rPr>
        <w:t>PROGRAMMA DEGLI INTERVENTI</w:t>
      </w:r>
      <w:bookmarkEnd w:id="0"/>
    </w:p>
    <w:p w14:paraId="2E292355" w14:textId="77777777" w:rsidR="00620B48" w:rsidRPr="001F5A7B" w:rsidRDefault="00620B48" w:rsidP="00620B48">
      <w:pPr>
        <w:autoSpaceDE w:val="0"/>
        <w:autoSpaceDN w:val="0"/>
        <w:spacing w:line="276" w:lineRule="auto"/>
        <w:jc w:val="both"/>
        <w:rPr>
          <w:rFonts w:cstheme="minorHAnsi"/>
          <w:sz w:val="20"/>
          <w:szCs w:val="20"/>
        </w:rPr>
      </w:pPr>
      <w:r w:rsidRPr="001F5A7B">
        <w:rPr>
          <w:rFonts w:cstheme="minorHAnsi"/>
          <w:sz w:val="20"/>
          <w:szCs w:val="20"/>
        </w:rPr>
        <w:t>Il Programma degli Interventi (“</w:t>
      </w:r>
      <w:proofErr w:type="spellStart"/>
      <w:r w:rsidRPr="001F5A7B">
        <w:rPr>
          <w:rFonts w:cstheme="minorHAnsi"/>
          <w:sz w:val="20"/>
          <w:szCs w:val="20"/>
        </w:rPr>
        <w:t>PdI</w:t>
      </w:r>
      <w:proofErr w:type="spellEnd"/>
      <w:r w:rsidRPr="001F5A7B">
        <w:rPr>
          <w:rFonts w:cstheme="minorHAnsi"/>
          <w:sz w:val="20"/>
          <w:szCs w:val="20"/>
        </w:rPr>
        <w:t>”) del vigente Schema Regolatorio dell’Ambito Distrettuale Sarnese-Vesuviano, approvato con delibera dell’Ente Idrico Campano n. 35 del 12 agosto 2021 avente ad oggetto “Deliberazione ARERA n. 580/2019/R/</w:t>
      </w:r>
      <w:proofErr w:type="spellStart"/>
      <w:r w:rsidRPr="001F5A7B">
        <w:rPr>
          <w:rFonts w:cstheme="minorHAnsi"/>
          <w:sz w:val="20"/>
          <w:szCs w:val="20"/>
        </w:rPr>
        <w:t>idr</w:t>
      </w:r>
      <w:proofErr w:type="spellEnd"/>
      <w:r w:rsidRPr="001F5A7B">
        <w:rPr>
          <w:rFonts w:cstheme="minorHAnsi"/>
          <w:sz w:val="20"/>
          <w:szCs w:val="20"/>
        </w:rPr>
        <w:t xml:space="preserve"> – Approvazione schema regolatorio 2020÷2023” e confermato con deliberazione EIC n. 36 del 10 </w:t>
      </w:r>
      <w:proofErr w:type="gramStart"/>
      <w:r w:rsidRPr="001F5A7B">
        <w:rPr>
          <w:rFonts w:cstheme="minorHAnsi"/>
          <w:sz w:val="20"/>
          <w:szCs w:val="20"/>
        </w:rPr>
        <w:t>Agosto</w:t>
      </w:r>
      <w:proofErr w:type="gramEnd"/>
      <w:r w:rsidRPr="001F5A7B">
        <w:rPr>
          <w:rFonts w:cstheme="minorHAnsi"/>
          <w:sz w:val="20"/>
          <w:szCs w:val="20"/>
        </w:rPr>
        <w:t xml:space="preserve"> 2022 con oggetto “Approvazione aggiornamento biennale 2022÷2023 dello schema regolatorio 2020÷2023 GORI Spa. PEF 2022÷2032”, rappresenta il quadro complessivo degli interventi e delle correlate risorse, da impiegare per gli investimenti relativi al quadriennio 2020÷2023 nonché, più in generale, quelli relativi al periodo 2020÷2032. Tali interventi, comunque sono pianificati e, successivamente, programmati con lo scopo di perseguire gli obiettivi definiti sia dalla regolazione sulla “Qualità Tecnica” dettagliata con la deliberazione dell’ARERA n.917/2017/R/</w:t>
      </w:r>
      <w:proofErr w:type="spellStart"/>
      <w:r w:rsidRPr="001F5A7B">
        <w:rPr>
          <w:rFonts w:cstheme="minorHAnsi"/>
          <w:sz w:val="20"/>
          <w:szCs w:val="20"/>
        </w:rPr>
        <w:t>Idr</w:t>
      </w:r>
      <w:proofErr w:type="spellEnd"/>
      <w:r w:rsidRPr="001F5A7B">
        <w:rPr>
          <w:rFonts w:cstheme="minorHAnsi"/>
          <w:sz w:val="20"/>
          <w:szCs w:val="20"/>
        </w:rPr>
        <w:t xml:space="preserve"> che dal “Piano d’Ambito Regionale” predisposto ai sensi dell’art. 149 del </w:t>
      </w:r>
      <w:proofErr w:type="spellStart"/>
      <w:r w:rsidRPr="001F5A7B">
        <w:rPr>
          <w:rFonts w:cstheme="minorHAnsi"/>
          <w:sz w:val="20"/>
          <w:szCs w:val="20"/>
        </w:rPr>
        <w:t>D.Lgs.</w:t>
      </w:r>
      <w:proofErr w:type="spellEnd"/>
      <w:r w:rsidRPr="001F5A7B">
        <w:rPr>
          <w:rFonts w:cstheme="minorHAnsi"/>
          <w:sz w:val="20"/>
          <w:szCs w:val="20"/>
        </w:rPr>
        <w:t xml:space="preserve"> 153/2006 e </w:t>
      </w:r>
      <w:proofErr w:type="spellStart"/>
      <w:r w:rsidRPr="001F5A7B">
        <w:rPr>
          <w:rFonts w:cstheme="minorHAnsi"/>
          <w:sz w:val="20"/>
          <w:szCs w:val="20"/>
        </w:rPr>
        <w:t>ss.mm.ii</w:t>
      </w:r>
      <w:proofErr w:type="spellEnd"/>
      <w:r w:rsidRPr="001F5A7B">
        <w:rPr>
          <w:rFonts w:cstheme="minorHAnsi"/>
          <w:sz w:val="20"/>
          <w:szCs w:val="20"/>
        </w:rPr>
        <w:t xml:space="preserve">. ad art. 16 della L.R. Campania 15/2015. </w:t>
      </w:r>
    </w:p>
    <w:p w14:paraId="7B3D4B3E" w14:textId="77777777" w:rsidR="00620B48" w:rsidRPr="001F5A7B" w:rsidRDefault="00620B48" w:rsidP="00620B48">
      <w:pPr>
        <w:spacing w:line="276" w:lineRule="auto"/>
        <w:rPr>
          <w:sz w:val="20"/>
          <w:szCs w:val="20"/>
        </w:rPr>
      </w:pPr>
      <w:r w:rsidRPr="001F5A7B">
        <w:rPr>
          <w:sz w:val="20"/>
          <w:szCs w:val="20"/>
        </w:rPr>
        <w:t xml:space="preserve">Con riferimento agli obiettivi di </w:t>
      </w:r>
      <w:r w:rsidRPr="001F5A7B">
        <w:rPr>
          <w:i/>
          <w:iCs/>
          <w:sz w:val="20"/>
          <w:szCs w:val="20"/>
        </w:rPr>
        <w:t>“Qualità Tecnica”</w:t>
      </w:r>
      <w:r w:rsidRPr="001F5A7B">
        <w:rPr>
          <w:sz w:val="20"/>
          <w:szCs w:val="20"/>
        </w:rPr>
        <w:t>, ARERA ha fissato:</w:t>
      </w:r>
    </w:p>
    <w:p w14:paraId="797C81C8" w14:textId="77777777" w:rsidR="00620B48" w:rsidRPr="001F5A7B" w:rsidRDefault="00620B48" w:rsidP="00620B48">
      <w:pPr>
        <w:pStyle w:val="elencop"/>
        <w:tabs>
          <w:tab w:val="clear" w:pos="360"/>
        </w:tabs>
        <w:spacing w:line="276" w:lineRule="auto"/>
        <w:ind w:hanging="360"/>
        <w:rPr>
          <w:sz w:val="20"/>
          <w:szCs w:val="20"/>
        </w:rPr>
      </w:pPr>
      <w:r w:rsidRPr="001F5A7B">
        <w:rPr>
          <w:sz w:val="20"/>
          <w:szCs w:val="20"/>
        </w:rPr>
        <w:t xml:space="preserve">gli </w:t>
      </w:r>
      <w:r w:rsidRPr="001F5A7B">
        <w:rPr>
          <w:b/>
          <w:bCs/>
          <w:sz w:val="20"/>
          <w:szCs w:val="20"/>
        </w:rPr>
        <w:t>standard specifici</w:t>
      </w:r>
      <w:r w:rsidRPr="001F5A7B">
        <w:rPr>
          <w:sz w:val="20"/>
          <w:szCs w:val="20"/>
        </w:rPr>
        <w:t xml:space="preserve"> da garantire nelle prestazioni erogate al singolo utente;</w:t>
      </w:r>
    </w:p>
    <w:p w14:paraId="388BC407" w14:textId="77777777" w:rsidR="00620B48" w:rsidRPr="001F5A7B" w:rsidRDefault="00620B48" w:rsidP="00620B48">
      <w:pPr>
        <w:pStyle w:val="elencop"/>
        <w:tabs>
          <w:tab w:val="clear" w:pos="360"/>
        </w:tabs>
        <w:spacing w:line="276" w:lineRule="auto"/>
        <w:ind w:hanging="360"/>
        <w:rPr>
          <w:sz w:val="20"/>
          <w:szCs w:val="20"/>
        </w:rPr>
      </w:pPr>
      <w:r w:rsidRPr="001F5A7B">
        <w:rPr>
          <w:sz w:val="20"/>
          <w:szCs w:val="20"/>
        </w:rPr>
        <w:t xml:space="preserve">gli </w:t>
      </w:r>
      <w:r w:rsidRPr="001F5A7B">
        <w:rPr>
          <w:b/>
          <w:bCs/>
          <w:sz w:val="20"/>
          <w:szCs w:val="20"/>
        </w:rPr>
        <w:t>standard generali</w:t>
      </w:r>
      <w:r w:rsidRPr="001F5A7B">
        <w:rPr>
          <w:sz w:val="20"/>
          <w:szCs w:val="20"/>
        </w:rPr>
        <w:t xml:space="preserve"> che descrivono le condizioni tecniche di erogazione del servizio;</w:t>
      </w:r>
    </w:p>
    <w:p w14:paraId="64EC0972" w14:textId="77777777" w:rsidR="00620B48" w:rsidRPr="001F5A7B" w:rsidRDefault="00620B48" w:rsidP="00620B48">
      <w:pPr>
        <w:pStyle w:val="elencop"/>
        <w:tabs>
          <w:tab w:val="clear" w:pos="360"/>
        </w:tabs>
        <w:spacing w:line="276" w:lineRule="auto"/>
        <w:ind w:hanging="360"/>
        <w:rPr>
          <w:sz w:val="20"/>
          <w:szCs w:val="20"/>
        </w:rPr>
      </w:pPr>
      <w:r w:rsidRPr="001F5A7B">
        <w:rPr>
          <w:sz w:val="20"/>
          <w:szCs w:val="20"/>
        </w:rPr>
        <w:t xml:space="preserve">i </w:t>
      </w:r>
      <w:r w:rsidRPr="001F5A7B">
        <w:rPr>
          <w:b/>
          <w:bCs/>
          <w:sz w:val="20"/>
          <w:szCs w:val="20"/>
        </w:rPr>
        <w:t>prerequisiti</w:t>
      </w:r>
      <w:r w:rsidRPr="001F5A7B">
        <w:rPr>
          <w:sz w:val="20"/>
          <w:szCs w:val="20"/>
        </w:rPr>
        <w:t>, che rappresentano le condizioni necessarie all'ammissione al meccanismo incentivante associato agli standard generali.</w:t>
      </w:r>
    </w:p>
    <w:p w14:paraId="4E335080" w14:textId="77777777" w:rsidR="00620B48" w:rsidRPr="001F5A7B" w:rsidRDefault="00620B48" w:rsidP="00620B48">
      <w:pPr>
        <w:spacing w:line="276" w:lineRule="auto"/>
        <w:rPr>
          <w:sz w:val="20"/>
          <w:szCs w:val="20"/>
        </w:rPr>
      </w:pPr>
      <w:r w:rsidRPr="001F5A7B">
        <w:rPr>
          <w:sz w:val="20"/>
          <w:szCs w:val="20"/>
        </w:rPr>
        <w:t xml:space="preserve">Con riferimento agli obiettivi del </w:t>
      </w:r>
      <w:r w:rsidRPr="001F5A7B">
        <w:rPr>
          <w:i/>
          <w:iCs/>
          <w:sz w:val="20"/>
          <w:szCs w:val="20"/>
        </w:rPr>
        <w:t xml:space="preserve">“Piano d’Ambito Regionale”, </w:t>
      </w:r>
      <w:r w:rsidRPr="001F5A7B">
        <w:rPr>
          <w:sz w:val="20"/>
          <w:szCs w:val="20"/>
        </w:rPr>
        <w:t>l’Ente Idrico Campano ha fissato:</w:t>
      </w:r>
      <w:r w:rsidRPr="001F5A7B">
        <w:rPr>
          <w:i/>
          <w:iCs/>
          <w:sz w:val="20"/>
          <w:szCs w:val="20"/>
        </w:rPr>
        <w:t xml:space="preserve"> </w:t>
      </w:r>
      <w:r w:rsidRPr="001F5A7B">
        <w:rPr>
          <w:sz w:val="20"/>
          <w:szCs w:val="20"/>
        </w:rPr>
        <w:t xml:space="preserve"> </w:t>
      </w:r>
    </w:p>
    <w:p w14:paraId="21A42288" w14:textId="77777777" w:rsidR="00620B48" w:rsidRPr="001F5A7B" w:rsidRDefault="00620B48" w:rsidP="00620B48">
      <w:pPr>
        <w:pStyle w:val="elencop"/>
        <w:tabs>
          <w:tab w:val="clear" w:pos="360"/>
        </w:tabs>
        <w:spacing w:line="276" w:lineRule="auto"/>
        <w:ind w:hanging="360"/>
        <w:rPr>
          <w:sz w:val="20"/>
          <w:szCs w:val="20"/>
        </w:rPr>
      </w:pPr>
      <w:r w:rsidRPr="001F5A7B">
        <w:rPr>
          <w:sz w:val="20"/>
          <w:szCs w:val="20"/>
        </w:rPr>
        <w:t xml:space="preserve">gli </w:t>
      </w:r>
      <w:r w:rsidRPr="001F5A7B">
        <w:rPr>
          <w:i/>
          <w:iCs/>
          <w:sz w:val="20"/>
          <w:szCs w:val="20"/>
        </w:rPr>
        <w:t>Obiettivi Generali della pianificazione</w:t>
      </w:r>
      <w:r w:rsidRPr="001F5A7B">
        <w:rPr>
          <w:sz w:val="20"/>
          <w:szCs w:val="20"/>
        </w:rPr>
        <w:t xml:space="preserve"> relativi a:</w:t>
      </w:r>
    </w:p>
    <w:p w14:paraId="30CD81B1" w14:textId="77777777" w:rsidR="00620B48" w:rsidRPr="001F5A7B" w:rsidRDefault="00620B48" w:rsidP="00620B48">
      <w:pPr>
        <w:pStyle w:val="elencov"/>
        <w:tabs>
          <w:tab w:val="clear" w:pos="360"/>
        </w:tabs>
        <w:spacing w:line="276" w:lineRule="auto"/>
        <w:ind w:left="993" w:hanging="360"/>
        <w:rPr>
          <w:sz w:val="20"/>
          <w:szCs w:val="20"/>
        </w:rPr>
      </w:pPr>
      <w:r w:rsidRPr="001F5A7B">
        <w:rPr>
          <w:sz w:val="20"/>
          <w:szCs w:val="20"/>
        </w:rPr>
        <w:t>Miglioramento della qualità di vita per elevati standard del SII;</w:t>
      </w:r>
    </w:p>
    <w:p w14:paraId="56F52550" w14:textId="77777777" w:rsidR="00620B48" w:rsidRPr="001F5A7B" w:rsidRDefault="00620B48" w:rsidP="00620B48">
      <w:pPr>
        <w:pStyle w:val="elencov"/>
        <w:tabs>
          <w:tab w:val="clear" w:pos="360"/>
        </w:tabs>
        <w:spacing w:line="276" w:lineRule="auto"/>
        <w:ind w:left="993" w:hanging="360"/>
        <w:rPr>
          <w:sz w:val="20"/>
          <w:szCs w:val="20"/>
        </w:rPr>
      </w:pPr>
      <w:r w:rsidRPr="001F5A7B">
        <w:rPr>
          <w:sz w:val="20"/>
          <w:szCs w:val="20"/>
        </w:rPr>
        <w:t>Copertura del Servizio;</w:t>
      </w:r>
    </w:p>
    <w:p w14:paraId="15A548E1" w14:textId="77777777" w:rsidR="00620B48" w:rsidRPr="001F5A7B" w:rsidRDefault="00620B48" w:rsidP="00620B48">
      <w:pPr>
        <w:pStyle w:val="elencov"/>
        <w:tabs>
          <w:tab w:val="clear" w:pos="360"/>
        </w:tabs>
        <w:spacing w:line="276" w:lineRule="auto"/>
        <w:ind w:left="993" w:hanging="360"/>
        <w:rPr>
          <w:sz w:val="20"/>
          <w:szCs w:val="20"/>
        </w:rPr>
      </w:pPr>
      <w:r w:rsidRPr="001F5A7B">
        <w:rPr>
          <w:sz w:val="20"/>
          <w:szCs w:val="20"/>
        </w:rPr>
        <w:t>Efficienza ed Economicità;</w:t>
      </w:r>
    </w:p>
    <w:p w14:paraId="00E998EA" w14:textId="77777777" w:rsidR="00620B48" w:rsidRPr="001F5A7B" w:rsidRDefault="00620B48" w:rsidP="00620B48">
      <w:pPr>
        <w:pStyle w:val="elencov"/>
        <w:tabs>
          <w:tab w:val="clear" w:pos="360"/>
        </w:tabs>
        <w:spacing w:line="276" w:lineRule="auto"/>
        <w:ind w:left="993" w:hanging="360"/>
        <w:rPr>
          <w:sz w:val="20"/>
          <w:szCs w:val="20"/>
        </w:rPr>
      </w:pPr>
      <w:r w:rsidRPr="001F5A7B">
        <w:rPr>
          <w:sz w:val="20"/>
          <w:szCs w:val="20"/>
        </w:rPr>
        <w:t>Sostenibilità ambientale;</w:t>
      </w:r>
    </w:p>
    <w:p w14:paraId="1C9BECD3" w14:textId="77777777" w:rsidR="00620B48" w:rsidRPr="001F5A7B" w:rsidRDefault="00620B48" w:rsidP="00620B48">
      <w:pPr>
        <w:pStyle w:val="elencov"/>
        <w:tabs>
          <w:tab w:val="clear" w:pos="360"/>
        </w:tabs>
        <w:spacing w:line="276" w:lineRule="auto"/>
        <w:ind w:left="993" w:hanging="360"/>
        <w:rPr>
          <w:sz w:val="20"/>
          <w:szCs w:val="20"/>
        </w:rPr>
      </w:pPr>
      <w:r w:rsidRPr="001F5A7B">
        <w:rPr>
          <w:sz w:val="20"/>
          <w:szCs w:val="20"/>
        </w:rPr>
        <w:t>Prescrizioni e obiettivi fissati dai piani sovraordinati;</w:t>
      </w:r>
    </w:p>
    <w:p w14:paraId="24D92DC0" w14:textId="77777777" w:rsidR="00620B48" w:rsidRPr="001F5A7B" w:rsidRDefault="00620B48" w:rsidP="00620B48">
      <w:pPr>
        <w:pStyle w:val="elencov"/>
        <w:tabs>
          <w:tab w:val="clear" w:pos="360"/>
        </w:tabs>
        <w:spacing w:line="276" w:lineRule="auto"/>
        <w:ind w:left="993" w:hanging="360"/>
        <w:rPr>
          <w:sz w:val="20"/>
          <w:szCs w:val="20"/>
        </w:rPr>
      </w:pPr>
      <w:r w:rsidRPr="001F5A7B">
        <w:rPr>
          <w:sz w:val="20"/>
          <w:szCs w:val="20"/>
        </w:rPr>
        <w:t>Prescrizioni ARERA</w:t>
      </w:r>
    </w:p>
    <w:p w14:paraId="3ABCEE96" w14:textId="77777777" w:rsidR="00620B48" w:rsidRPr="001F5A7B" w:rsidRDefault="00620B48" w:rsidP="00620B48">
      <w:pPr>
        <w:pStyle w:val="elencop"/>
        <w:tabs>
          <w:tab w:val="clear" w:pos="360"/>
        </w:tabs>
        <w:spacing w:line="276" w:lineRule="auto"/>
        <w:ind w:hanging="360"/>
        <w:rPr>
          <w:sz w:val="20"/>
          <w:szCs w:val="20"/>
        </w:rPr>
      </w:pPr>
      <w:r w:rsidRPr="001F5A7B">
        <w:rPr>
          <w:rFonts w:cs="Calibri"/>
          <w:sz w:val="20"/>
          <w:szCs w:val="20"/>
        </w:rPr>
        <w:t xml:space="preserve">gli </w:t>
      </w:r>
      <w:r w:rsidRPr="001F5A7B">
        <w:rPr>
          <w:rFonts w:cs="Calibri"/>
          <w:i/>
          <w:iCs/>
          <w:sz w:val="20"/>
          <w:szCs w:val="20"/>
        </w:rPr>
        <w:t>Obiettivi Specifici</w:t>
      </w:r>
      <w:r w:rsidRPr="001F5A7B">
        <w:rPr>
          <w:rFonts w:cs="Calibri"/>
          <w:sz w:val="20"/>
          <w:szCs w:val="20"/>
        </w:rPr>
        <w:t xml:space="preserve"> della </w:t>
      </w:r>
      <w:r w:rsidRPr="001F5A7B">
        <w:rPr>
          <w:rFonts w:cs="Calibri"/>
          <w:i/>
          <w:iCs/>
          <w:sz w:val="20"/>
          <w:szCs w:val="20"/>
        </w:rPr>
        <w:t xml:space="preserve">programmazione </w:t>
      </w:r>
      <w:r w:rsidRPr="001F5A7B">
        <w:rPr>
          <w:rFonts w:cs="Calibri"/>
          <w:sz w:val="20"/>
          <w:szCs w:val="20"/>
        </w:rPr>
        <w:t xml:space="preserve">fissati attraverso un quadro di </w:t>
      </w:r>
      <w:r w:rsidRPr="001F5A7B">
        <w:rPr>
          <w:rFonts w:cs="Calibri"/>
          <w:i/>
          <w:iCs/>
          <w:sz w:val="20"/>
          <w:szCs w:val="20"/>
        </w:rPr>
        <w:t>KPI</w:t>
      </w:r>
      <w:r w:rsidRPr="001F5A7B">
        <w:rPr>
          <w:rFonts w:cs="Calibri"/>
          <w:sz w:val="20"/>
          <w:szCs w:val="20"/>
        </w:rPr>
        <w:t xml:space="preserve"> fisici definiti per i singoli asset. Per tutti i </w:t>
      </w:r>
      <w:r w:rsidRPr="001F5A7B">
        <w:rPr>
          <w:rFonts w:cs="Calibri"/>
          <w:i/>
          <w:iCs/>
          <w:sz w:val="20"/>
          <w:szCs w:val="20"/>
        </w:rPr>
        <w:t xml:space="preserve">KPI </w:t>
      </w:r>
      <w:r w:rsidRPr="001F5A7B">
        <w:rPr>
          <w:rFonts w:cs="Calibri"/>
          <w:sz w:val="20"/>
          <w:szCs w:val="20"/>
        </w:rPr>
        <w:t xml:space="preserve">(circa 100), a partire dai dati forniti dalla GORI - aggiornati a tutto il 2019 - e relativi alla consistenza tecnica degli asset gestiti, l’Ente Idrico Campano ha calcolato il valore di partenza, fissando poi il valore obiettivo da traguardare al trentesimo anno a partire dalla data di approvazione del </w:t>
      </w:r>
      <w:r w:rsidRPr="001F5A7B">
        <w:rPr>
          <w:rFonts w:cs="Calibri"/>
          <w:i/>
          <w:iCs/>
          <w:sz w:val="20"/>
          <w:szCs w:val="20"/>
        </w:rPr>
        <w:t>“Piano d’Ambito Regionale”</w:t>
      </w:r>
      <w:r w:rsidRPr="001F5A7B">
        <w:rPr>
          <w:rFonts w:cs="Calibri"/>
          <w:sz w:val="20"/>
          <w:szCs w:val="20"/>
        </w:rPr>
        <w:t xml:space="preserve">.  </w:t>
      </w:r>
    </w:p>
    <w:p w14:paraId="7D19CBCA" w14:textId="77777777" w:rsidR="00620B48" w:rsidRPr="001F5A7B" w:rsidRDefault="00620B48" w:rsidP="00620B48">
      <w:pPr>
        <w:spacing w:line="276" w:lineRule="auto"/>
        <w:jc w:val="both"/>
        <w:rPr>
          <w:sz w:val="20"/>
          <w:szCs w:val="20"/>
        </w:rPr>
      </w:pPr>
      <w:r w:rsidRPr="001F5A7B">
        <w:rPr>
          <w:sz w:val="20"/>
          <w:szCs w:val="20"/>
        </w:rPr>
        <w:t>Nell’ambito di tale quadro di pianificazione l’Ente Idrico Campano, con l’approvazione del Piano degli Interventi 2020-2023, ha definito e programmato gli interventi necessari per perseguire tre principali macro-obiettivi, individuando le correlate risorse economiche e finanziarie</w:t>
      </w:r>
      <w:r>
        <w:rPr>
          <w:sz w:val="20"/>
          <w:szCs w:val="20"/>
        </w:rPr>
        <w:t>, di seguito riportati</w:t>
      </w:r>
      <w:r w:rsidRPr="001F5A7B">
        <w:rPr>
          <w:sz w:val="20"/>
          <w:szCs w:val="20"/>
        </w:rPr>
        <w:t>:</w:t>
      </w:r>
    </w:p>
    <w:p w14:paraId="61ABFE11" w14:textId="77777777" w:rsidR="00620B48" w:rsidRPr="001F5A7B" w:rsidRDefault="00620B48" w:rsidP="00620B48">
      <w:pPr>
        <w:rPr>
          <w:sz w:val="20"/>
          <w:szCs w:val="20"/>
        </w:rPr>
      </w:pPr>
    </w:p>
    <w:tbl>
      <w:tblPr>
        <w:tblStyle w:val="Grigliatabel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461"/>
      </w:tblGrid>
      <w:tr w:rsidR="00620B48" w:rsidRPr="001F5A7B" w14:paraId="40B3360E" w14:textId="77777777" w:rsidTr="00620B48">
        <w:tc>
          <w:tcPr>
            <w:tcW w:w="2466" w:type="dxa"/>
          </w:tcPr>
          <w:p w14:paraId="1E3EAB6B" w14:textId="77777777" w:rsidR="00620B48" w:rsidRPr="001F5A7B" w:rsidRDefault="00620B48" w:rsidP="00AB188A">
            <w:pPr>
              <w:rPr>
                <w:sz w:val="20"/>
                <w:szCs w:val="20"/>
              </w:rPr>
            </w:pPr>
            <w:r w:rsidRPr="001F5A7B">
              <w:rPr>
                <w:noProof/>
                <w:sz w:val="20"/>
                <w:szCs w:val="20"/>
              </w:rPr>
              <w:drawing>
                <wp:inline distT="0" distB="0" distL="0" distR="0" wp14:anchorId="3D5BE447" wp14:editId="09514619">
                  <wp:extent cx="1424588" cy="532262"/>
                  <wp:effectExtent l="0" t="0" r="4445" b="1270"/>
                  <wp:docPr id="2" name="Pictur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116" cy="541426"/>
                          </a:xfrm>
                          <a:prstGeom prst="rect">
                            <a:avLst/>
                          </a:prstGeom>
                        </pic:spPr>
                      </pic:pic>
                    </a:graphicData>
                  </a:graphic>
                </wp:inline>
              </w:drawing>
            </w:r>
          </w:p>
        </w:tc>
        <w:tc>
          <w:tcPr>
            <w:tcW w:w="7461" w:type="dxa"/>
          </w:tcPr>
          <w:p w14:paraId="6542E828" w14:textId="77777777" w:rsidR="00620B48" w:rsidRPr="001F5A7B" w:rsidRDefault="00620B48" w:rsidP="00AB188A">
            <w:pPr>
              <w:spacing w:line="276" w:lineRule="auto"/>
              <w:jc w:val="both"/>
              <w:rPr>
                <w:sz w:val="20"/>
                <w:szCs w:val="20"/>
              </w:rPr>
            </w:pPr>
            <w:r>
              <w:rPr>
                <w:sz w:val="20"/>
                <w:szCs w:val="20"/>
                <w:u w:val="single"/>
              </w:rPr>
              <w:t>C</w:t>
            </w:r>
            <w:r w:rsidRPr="001F5A7B">
              <w:rPr>
                <w:sz w:val="20"/>
                <w:szCs w:val="20"/>
                <w:u w:val="single"/>
              </w:rPr>
              <w:t>ompletamento degli schemi fognari - depurativi</w:t>
            </w:r>
            <w:r w:rsidRPr="001F5A7B">
              <w:rPr>
                <w:sz w:val="20"/>
                <w:szCs w:val="20"/>
              </w:rPr>
              <w:t xml:space="preserve"> del distretto Sarnese Vesuviano, che consentiranno di superare definitivamente l’emergenza </w:t>
            </w:r>
            <w:proofErr w:type="gramStart"/>
            <w:r w:rsidRPr="001F5A7B">
              <w:rPr>
                <w:sz w:val="20"/>
                <w:szCs w:val="20"/>
              </w:rPr>
              <w:t>socio-economico</w:t>
            </w:r>
            <w:proofErr w:type="gramEnd"/>
            <w:r w:rsidRPr="001F5A7B">
              <w:rPr>
                <w:sz w:val="20"/>
                <w:szCs w:val="20"/>
              </w:rPr>
              <w:t>-ambientale del bacino Idrografico del fiume Sarno. Tali interventi sono stati organizzati e programmati nell’ambito di un articolato programma di investimenti denominato “</w:t>
            </w:r>
            <w:r w:rsidRPr="001F5A7B">
              <w:rPr>
                <w:b/>
                <w:bCs/>
                <w:sz w:val="20"/>
                <w:szCs w:val="20"/>
              </w:rPr>
              <w:t>Energie per il Sarno</w:t>
            </w:r>
            <w:r w:rsidRPr="001F5A7B">
              <w:rPr>
                <w:sz w:val="20"/>
                <w:szCs w:val="20"/>
              </w:rPr>
              <w:t>”. Nell’ambito di tale programma sono stati pianificati tutti gli interventi finalizzati all’ottimizzazione degli impianti di depurazione comprensoriali volti a garantire trattamenti adeguati, efficienza energetica e riduzione dei rifiuti prodotti dagli impianti di depurazione;</w:t>
            </w:r>
          </w:p>
          <w:p w14:paraId="52D140E3" w14:textId="77777777" w:rsidR="00620B48" w:rsidRPr="001F5A7B" w:rsidRDefault="00620B48" w:rsidP="00AB188A">
            <w:pPr>
              <w:jc w:val="both"/>
              <w:rPr>
                <w:sz w:val="20"/>
                <w:szCs w:val="20"/>
              </w:rPr>
            </w:pPr>
          </w:p>
        </w:tc>
      </w:tr>
      <w:tr w:rsidR="00620B48" w:rsidRPr="001F5A7B" w14:paraId="79AC1E59" w14:textId="77777777" w:rsidTr="00620B48">
        <w:tc>
          <w:tcPr>
            <w:tcW w:w="2466" w:type="dxa"/>
          </w:tcPr>
          <w:p w14:paraId="362D9F03" w14:textId="77777777" w:rsidR="00620B48" w:rsidRPr="001F5A7B" w:rsidRDefault="00620B48" w:rsidP="00AB188A">
            <w:pPr>
              <w:rPr>
                <w:sz w:val="20"/>
                <w:szCs w:val="20"/>
              </w:rPr>
            </w:pPr>
            <w:r w:rsidRPr="001F5A7B">
              <w:rPr>
                <w:noProof/>
                <w:sz w:val="20"/>
                <w:szCs w:val="20"/>
              </w:rPr>
              <w:lastRenderedPageBreak/>
              <w:drawing>
                <wp:inline distT="0" distB="0" distL="0" distR="0" wp14:anchorId="0DFAD971" wp14:editId="6B748BE8">
                  <wp:extent cx="1424424" cy="634621"/>
                  <wp:effectExtent l="0" t="0" r="4445" b="0"/>
                  <wp:docPr id="15" name="Pictur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8821" cy="645490"/>
                          </a:xfrm>
                          <a:prstGeom prst="rect">
                            <a:avLst/>
                          </a:prstGeom>
                        </pic:spPr>
                      </pic:pic>
                    </a:graphicData>
                  </a:graphic>
                </wp:inline>
              </w:drawing>
            </w:r>
          </w:p>
        </w:tc>
        <w:tc>
          <w:tcPr>
            <w:tcW w:w="7461" w:type="dxa"/>
          </w:tcPr>
          <w:p w14:paraId="0F3A0D76" w14:textId="77777777" w:rsidR="00620B48" w:rsidRPr="001F5A7B" w:rsidRDefault="00620B48" w:rsidP="00AB188A">
            <w:pPr>
              <w:spacing w:line="276" w:lineRule="auto"/>
              <w:jc w:val="both"/>
              <w:rPr>
                <w:sz w:val="20"/>
                <w:szCs w:val="20"/>
              </w:rPr>
            </w:pPr>
            <w:r>
              <w:rPr>
                <w:sz w:val="20"/>
                <w:szCs w:val="20"/>
                <w:u w:val="single"/>
              </w:rPr>
              <w:t>R</w:t>
            </w:r>
            <w:r w:rsidRPr="001F5A7B">
              <w:rPr>
                <w:sz w:val="20"/>
                <w:szCs w:val="20"/>
                <w:u w:val="single"/>
              </w:rPr>
              <w:t>iduzione entro il 2025 delle perdite di rete idrica</w:t>
            </w:r>
            <w:r w:rsidRPr="001F5A7B">
              <w:rPr>
                <w:sz w:val="20"/>
                <w:szCs w:val="20"/>
              </w:rPr>
              <w:t xml:space="preserve"> ai valori target definitivi previsti dal Piano d’Ambito Regionale. Tali interventi sono stati organizzati e programmati nell’ambito di un articolato programma di investimenti denominato “</w:t>
            </w:r>
            <w:r w:rsidRPr="001F5A7B">
              <w:rPr>
                <w:b/>
                <w:bCs/>
                <w:sz w:val="20"/>
                <w:szCs w:val="20"/>
              </w:rPr>
              <w:t>Azioni per l’Acqua</w:t>
            </w:r>
            <w:r w:rsidRPr="001F5A7B">
              <w:rPr>
                <w:sz w:val="20"/>
                <w:szCs w:val="20"/>
              </w:rPr>
              <w:t xml:space="preserve">” finalizzato alla </w:t>
            </w:r>
            <w:proofErr w:type="spellStart"/>
            <w:r w:rsidRPr="001F5A7B">
              <w:rPr>
                <w:sz w:val="20"/>
                <w:szCs w:val="20"/>
              </w:rPr>
              <w:t>distrettualizzazione</w:t>
            </w:r>
            <w:proofErr w:type="spellEnd"/>
            <w:r w:rsidRPr="001F5A7B">
              <w:rPr>
                <w:sz w:val="20"/>
                <w:szCs w:val="20"/>
              </w:rPr>
              <w:t xml:space="preserve"> e alla digitalizzazione delle reti idriche che consentiranno anche di perseguire gli obiettivi definiti da Arera in termini di continuità e qualità del servizio idrico erogato nell’intero Ambito distrettuale, superando definitivamente tutte le criticità presenti sul territorio gestito</w:t>
            </w:r>
            <w:r>
              <w:rPr>
                <w:sz w:val="20"/>
                <w:szCs w:val="20"/>
              </w:rPr>
              <w:t>;</w:t>
            </w:r>
          </w:p>
          <w:p w14:paraId="41231367" w14:textId="77777777" w:rsidR="00620B48" w:rsidRPr="001F5A7B" w:rsidRDefault="00620B48" w:rsidP="00AB188A">
            <w:pPr>
              <w:spacing w:line="276" w:lineRule="auto"/>
              <w:rPr>
                <w:sz w:val="20"/>
                <w:szCs w:val="20"/>
              </w:rPr>
            </w:pPr>
          </w:p>
        </w:tc>
      </w:tr>
      <w:tr w:rsidR="00620B48" w:rsidRPr="001F5A7B" w14:paraId="5FB8532E" w14:textId="77777777" w:rsidTr="00620B48">
        <w:tc>
          <w:tcPr>
            <w:tcW w:w="2466" w:type="dxa"/>
          </w:tcPr>
          <w:p w14:paraId="5B15248E" w14:textId="77777777" w:rsidR="00620B48" w:rsidRPr="001F5A7B" w:rsidRDefault="00620B48" w:rsidP="00AB188A">
            <w:pPr>
              <w:rPr>
                <w:sz w:val="20"/>
                <w:szCs w:val="20"/>
              </w:rPr>
            </w:pPr>
            <w:r w:rsidRPr="001F5A7B">
              <w:rPr>
                <w:sz w:val="20"/>
                <w:szCs w:val="20"/>
              </w:rPr>
              <w:t> </w:t>
            </w:r>
            <w:r w:rsidRPr="001F5A7B">
              <w:rPr>
                <w:noProof/>
                <w:sz w:val="20"/>
                <w:szCs w:val="20"/>
              </w:rPr>
              <w:drawing>
                <wp:inline distT="0" distB="0" distL="0" distR="0" wp14:anchorId="71282489" wp14:editId="2C0E9348">
                  <wp:extent cx="1396365" cy="709481"/>
                  <wp:effectExtent l="0" t="0" r="0" b="0"/>
                  <wp:docPr id="5" name="Picture 5" descr="Immagine che contiene lu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magine che contiene luce&#10;&#10;Descrizione generata automaticamen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411728" cy="7172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61" w:type="dxa"/>
          </w:tcPr>
          <w:p w14:paraId="55284EE6" w14:textId="77777777" w:rsidR="00620B48" w:rsidRPr="001F5A7B" w:rsidRDefault="00620B48" w:rsidP="00AB188A">
            <w:pPr>
              <w:spacing w:line="276" w:lineRule="auto"/>
              <w:jc w:val="both"/>
              <w:rPr>
                <w:sz w:val="20"/>
                <w:szCs w:val="20"/>
              </w:rPr>
            </w:pPr>
            <w:r>
              <w:rPr>
                <w:sz w:val="20"/>
                <w:szCs w:val="20"/>
                <w:u w:val="single"/>
              </w:rPr>
              <w:t>A</w:t>
            </w:r>
            <w:r w:rsidRPr="001F5A7B">
              <w:rPr>
                <w:sz w:val="20"/>
                <w:szCs w:val="20"/>
                <w:u w:val="single"/>
              </w:rPr>
              <w:t>deguati livelli di manutenzione degli assets</w:t>
            </w:r>
            <w:r w:rsidRPr="001F5A7B">
              <w:rPr>
                <w:sz w:val="20"/>
                <w:szCs w:val="20"/>
              </w:rPr>
              <w:t xml:space="preserve"> del servizio idrico integrato per garantire </w:t>
            </w:r>
            <w:r w:rsidRPr="001F5A7B">
              <w:rPr>
                <w:b/>
                <w:bCs/>
                <w:sz w:val="20"/>
                <w:szCs w:val="20"/>
              </w:rPr>
              <w:t>l’Efficienza</w:t>
            </w:r>
            <w:r w:rsidRPr="001F5A7B">
              <w:rPr>
                <w:b/>
                <w:sz w:val="20"/>
                <w:szCs w:val="20"/>
              </w:rPr>
              <w:t xml:space="preserve"> gestionale</w:t>
            </w:r>
            <w:r w:rsidRPr="001F5A7B">
              <w:rPr>
                <w:sz w:val="20"/>
                <w:szCs w:val="20"/>
              </w:rPr>
              <w:t xml:space="preserve"> per:</w:t>
            </w:r>
          </w:p>
          <w:p w14:paraId="0667BC4D" w14:textId="77777777" w:rsidR="00620B48" w:rsidRPr="001F5A7B" w:rsidRDefault="00620B48" w:rsidP="00620B48">
            <w:pPr>
              <w:pStyle w:val="Paragrafoelenco"/>
              <w:numPr>
                <w:ilvl w:val="1"/>
                <w:numId w:val="3"/>
              </w:numPr>
              <w:suppressAutoHyphens/>
              <w:spacing w:line="276" w:lineRule="auto"/>
              <w:ind w:left="883" w:hanging="425"/>
              <w:jc w:val="both"/>
              <w:rPr>
                <w:sz w:val="20"/>
                <w:szCs w:val="20"/>
              </w:rPr>
            </w:pPr>
            <w:r w:rsidRPr="001F5A7B">
              <w:rPr>
                <w:sz w:val="20"/>
                <w:szCs w:val="20"/>
              </w:rPr>
              <w:t>la continuità del servizio erogato sul territorio;</w:t>
            </w:r>
          </w:p>
          <w:p w14:paraId="54AF9B48" w14:textId="77777777" w:rsidR="00620B48" w:rsidRPr="001F5A7B" w:rsidRDefault="00620B48" w:rsidP="00620B48">
            <w:pPr>
              <w:pStyle w:val="Paragrafoelenco"/>
              <w:numPr>
                <w:ilvl w:val="1"/>
                <w:numId w:val="3"/>
              </w:numPr>
              <w:suppressAutoHyphens/>
              <w:spacing w:line="276" w:lineRule="auto"/>
              <w:ind w:left="883" w:hanging="425"/>
              <w:jc w:val="both"/>
              <w:rPr>
                <w:sz w:val="20"/>
                <w:szCs w:val="20"/>
              </w:rPr>
            </w:pPr>
            <w:r w:rsidRPr="001F5A7B">
              <w:rPr>
                <w:sz w:val="20"/>
                <w:szCs w:val="20"/>
              </w:rPr>
              <w:t>il perseguimento degli standard di qualità tecnica e commerciale dei servizi idrici, fognari e depurativi definiti da ARERA con specifiche deliberazioni;</w:t>
            </w:r>
          </w:p>
          <w:p w14:paraId="6FE4F3AB" w14:textId="77777777" w:rsidR="00620B48" w:rsidRPr="001F5A7B" w:rsidRDefault="00620B48" w:rsidP="00620B48">
            <w:pPr>
              <w:pStyle w:val="Paragrafoelenco"/>
              <w:numPr>
                <w:ilvl w:val="1"/>
                <w:numId w:val="3"/>
              </w:numPr>
              <w:suppressAutoHyphens/>
              <w:spacing w:line="276" w:lineRule="auto"/>
              <w:ind w:left="883" w:hanging="425"/>
              <w:jc w:val="both"/>
              <w:rPr>
                <w:sz w:val="20"/>
                <w:szCs w:val="20"/>
              </w:rPr>
            </w:pPr>
            <w:r w:rsidRPr="001F5A7B">
              <w:rPr>
                <w:sz w:val="20"/>
                <w:szCs w:val="20"/>
              </w:rPr>
              <w:t>l'efficienza gestionale delle reti e degli impianti.</w:t>
            </w:r>
          </w:p>
          <w:p w14:paraId="3D64D125" w14:textId="77777777" w:rsidR="00620B48" w:rsidRPr="001F5A7B" w:rsidRDefault="00620B48" w:rsidP="00AB188A">
            <w:pPr>
              <w:spacing w:line="276" w:lineRule="auto"/>
              <w:rPr>
                <w:sz w:val="20"/>
                <w:szCs w:val="20"/>
              </w:rPr>
            </w:pPr>
          </w:p>
        </w:tc>
      </w:tr>
    </w:tbl>
    <w:p w14:paraId="1E4F6677" w14:textId="77777777" w:rsidR="00620B48" w:rsidRPr="00620B48" w:rsidRDefault="00620B48" w:rsidP="00620B48">
      <w:pPr>
        <w:spacing w:line="276" w:lineRule="auto"/>
        <w:rPr>
          <w:rFonts w:cstheme="minorHAnsi"/>
          <w:color w:val="000000" w:themeColor="text1"/>
          <w:sz w:val="24"/>
          <w:szCs w:val="24"/>
        </w:rPr>
      </w:pPr>
      <w:bookmarkStart w:id="1" w:name="_Toc127550975"/>
      <w:r w:rsidRPr="00620B48">
        <w:rPr>
          <w:rFonts w:cstheme="minorHAnsi"/>
          <w:color w:val="000000" w:themeColor="text1"/>
          <w:sz w:val="24"/>
          <w:szCs w:val="24"/>
        </w:rPr>
        <w:t>ANALISI INVESTIMENTI PER STRATEGIA DI INTERVENTO</w:t>
      </w:r>
      <w:bookmarkEnd w:id="1"/>
      <w:r w:rsidRPr="00620B48">
        <w:rPr>
          <w:rFonts w:cstheme="minorHAnsi"/>
          <w:color w:val="000000" w:themeColor="text1"/>
          <w:sz w:val="24"/>
          <w:szCs w:val="24"/>
        </w:rPr>
        <w:t xml:space="preserve"> </w:t>
      </w:r>
    </w:p>
    <w:p w14:paraId="671AA0D2" w14:textId="77777777" w:rsidR="00620B48" w:rsidRDefault="00620B48" w:rsidP="00620B48">
      <w:pPr>
        <w:spacing w:line="276" w:lineRule="auto"/>
        <w:jc w:val="both"/>
        <w:rPr>
          <w:sz w:val="20"/>
          <w:szCs w:val="20"/>
        </w:rPr>
      </w:pPr>
      <w:r w:rsidRPr="001F5A7B">
        <w:rPr>
          <w:sz w:val="20"/>
          <w:szCs w:val="20"/>
        </w:rPr>
        <w:t xml:space="preserve">Il Programma degli interventi è finalizzato ad attuare le principali strategie di intervento di GORI: </w:t>
      </w:r>
    </w:p>
    <w:p w14:paraId="03987DF9" w14:textId="77777777" w:rsidR="00620B48" w:rsidRPr="001F5A7B" w:rsidRDefault="00620B48" w:rsidP="00620B48">
      <w:pPr>
        <w:spacing w:line="276" w:lineRule="auto"/>
        <w:jc w:val="both"/>
        <w:rPr>
          <w:sz w:val="20"/>
          <w:szCs w:val="20"/>
        </w:rPr>
      </w:pPr>
      <w:r w:rsidRPr="001F5A7B">
        <w:rPr>
          <w:sz w:val="20"/>
          <w:szCs w:val="20"/>
        </w:rPr>
        <w:t xml:space="preserve">Energie per il Sarno ed Infrastrutture, Azioni per l’acqua ed Efficienza gestionale. </w:t>
      </w:r>
    </w:p>
    <w:p w14:paraId="0C25593B" w14:textId="77777777" w:rsidR="00620B48" w:rsidRDefault="00620B48" w:rsidP="00620B48">
      <w:pPr>
        <w:spacing w:line="276" w:lineRule="auto"/>
        <w:jc w:val="both"/>
        <w:rPr>
          <w:sz w:val="20"/>
          <w:szCs w:val="20"/>
        </w:rPr>
      </w:pPr>
      <w:r w:rsidRPr="001F5A7B">
        <w:rPr>
          <w:sz w:val="20"/>
          <w:szCs w:val="20"/>
        </w:rPr>
        <w:t>Di seguito si riportano le finalità delle strategie e le azioni introdotte.</w:t>
      </w:r>
    </w:p>
    <w:p w14:paraId="0FDCE083" w14:textId="77777777" w:rsidR="00620B48" w:rsidRPr="001F5A7B" w:rsidRDefault="00620B48" w:rsidP="00620B48">
      <w:pPr>
        <w:spacing w:line="276" w:lineRule="auto"/>
        <w:jc w:val="both"/>
        <w:rPr>
          <w:sz w:val="20"/>
          <w:szCs w:val="20"/>
        </w:rPr>
      </w:pPr>
    </w:p>
    <w:p w14:paraId="279DBE49" w14:textId="77777777" w:rsidR="00620B48" w:rsidRPr="00620B48" w:rsidRDefault="00620B48" w:rsidP="00620B48">
      <w:pPr>
        <w:spacing w:line="276" w:lineRule="auto"/>
        <w:rPr>
          <w:rFonts w:cstheme="minorHAnsi"/>
          <w:b/>
          <w:bCs/>
          <w:color w:val="000000" w:themeColor="text1"/>
          <w:sz w:val="20"/>
          <w:szCs w:val="20"/>
        </w:rPr>
      </w:pPr>
      <w:bookmarkStart w:id="2" w:name="_Toc127550976"/>
      <w:r w:rsidRPr="00620B48">
        <w:rPr>
          <w:rFonts w:cstheme="minorHAnsi"/>
          <w:b/>
          <w:bCs/>
          <w:color w:val="000000" w:themeColor="text1"/>
          <w:sz w:val="20"/>
          <w:szCs w:val="20"/>
        </w:rPr>
        <w:t>Programma Energie per il Sarno ed Infrastrutture</w:t>
      </w:r>
      <w:bookmarkEnd w:id="2"/>
    </w:p>
    <w:p w14:paraId="6999AEF0" w14:textId="77777777" w:rsidR="00620B48" w:rsidRPr="001F5A7B" w:rsidRDefault="00620B48" w:rsidP="00620B48">
      <w:pPr>
        <w:spacing w:line="276" w:lineRule="auto"/>
        <w:jc w:val="both"/>
        <w:rPr>
          <w:sz w:val="20"/>
          <w:szCs w:val="20"/>
        </w:rPr>
      </w:pPr>
      <w:r w:rsidRPr="001F5A7B">
        <w:rPr>
          <w:sz w:val="20"/>
          <w:szCs w:val="20"/>
        </w:rPr>
        <w:t xml:space="preserve">La linea strategica perseguita dal programma </w:t>
      </w:r>
      <w:r w:rsidRPr="001F5A7B">
        <w:rPr>
          <w:b/>
          <w:bCs/>
          <w:sz w:val="20"/>
          <w:szCs w:val="20"/>
        </w:rPr>
        <w:t>Energie per il Sarno</w:t>
      </w:r>
      <w:r w:rsidRPr="001F5A7B">
        <w:rPr>
          <w:sz w:val="20"/>
          <w:szCs w:val="20"/>
        </w:rPr>
        <w:t xml:space="preserve"> è quella di eliminare gli scarichi in ambiente, completare gli schemi fognari e di collettamento </w:t>
      </w:r>
      <w:proofErr w:type="gramStart"/>
      <w:r w:rsidRPr="001F5A7B">
        <w:rPr>
          <w:sz w:val="20"/>
          <w:szCs w:val="20"/>
        </w:rPr>
        <w:t>ed</w:t>
      </w:r>
      <w:proofErr w:type="gramEnd"/>
      <w:r w:rsidRPr="001F5A7B">
        <w:rPr>
          <w:sz w:val="20"/>
          <w:szCs w:val="20"/>
        </w:rPr>
        <w:t xml:space="preserve"> adeguare i depuratori dei comprensori depurativi del bacino idrografico del fiume Sarno. </w:t>
      </w:r>
    </w:p>
    <w:p w14:paraId="47D924C6" w14:textId="77777777" w:rsidR="00620B48" w:rsidRPr="001F5A7B" w:rsidRDefault="00620B48" w:rsidP="00620B48">
      <w:pPr>
        <w:spacing w:line="276" w:lineRule="auto"/>
        <w:jc w:val="both"/>
        <w:rPr>
          <w:sz w:val="20"/>
          <w:szCs w:val="20"/>
        </w:rPr>
      </w:pPr>
      <w:r w:rsidRPr="001F5A7B">
        <w:rPr>
          <w:sz w:val="20"/>
          <w:szCs w:val="20"/>
        </w:rPr>
        <w:t xml:space="preserve">Il bacino idrografico del fiume Sarno è una delle aree su cui Regione Campania, Ente Idrico Campano e Gori stanno concentrando sforzi e risorse al fine di risolvere definitivamente l’emergenza ambientale che affligge il corso d’acqua e i suoi affluenti: un’azione complessa di completamento degli schemi fognari e depurativi, e messa in sicurezza idraulica che interessa un’area di cinquecento chilometri quadrati, con una popolazione di circa 850.000 abitanti. </w:t>
      </w:r>
    </w:p>
    <w:p w14:paraId="706495DF" w14:textId="77777777" w:rsidR="00620B48" w:rsidRPr="001F5A7B" w:rsidRDefault="00620B48" w:rsidP="00620B48">
      <w:pPr>
        <w:spacing w:line="276" w:lineRule="auto"/>
        <w:rPr>
          <w:sz w:val="20"/>
          <w:szCs w:val="20"/>
        </w:rPr>
      </w:pPr>
      <w:r w:rsidRPr="001F5A7B">
        <w:rPr>
          <w:sz w:val="20"/>
          <w:szCs w:val="20"/>
        </w:rPr>
        <w:t>Gli investimenti previsti per il Sarno si pongono l’obiettivo di:</w:t>
      </w:r>
    </w:p>
    <w:p w14:paraId="5DD672F6" w14:textId="77777777" w:rsidR="00620B48" w:rsidRPr="001F5A7B" w:rsidRDefault="00620B48" w:rsidP="00620B48">
      <w:pPr>
        <w:pStyle w:val="elencov"/>
        <w:tabs>
          <w:tab w:val="clear" w:pos="360"/>
        </w:tabs>
        <w:spacing w:line="276" w:lineRule="auto"/>
        <w:ind w:left="1134" w:hanging="425"/>
        <w:rPr>
          <w:sz w:val="20"/>
          <w:szCs w:val="20"/>
        </w:rPr>
      </w:pPr>
      <w:r w:rsidRPr="001F5A7B">
        <w:rPr>
          <w:sz w:val="20"/>
          <w:szCs w:val="20"/>
        </w:rPr>
        <w:t>Eliminare i 113 scarichi in ambiente nel Bacino idrografico censiti al novembre 2020;</w:t>
      </w:r>
    </w:p>
    <w:p w14:paraId="07053764" w14:textId="77777777" w:rsidR="00620B48" w:rsidRPr="001F5A7B" w:rsidRDefault="00620B48" w:rsidP="00620B48">
      <w:pPr>
        <w:pStyle w:val="elencov"/>
        <w:tabs>
          <w:tab w:val="clear" w:pos="360"/>
        </w:tabs>
        <w:spacing w:line="276" w:lineRule="auto"/>
        <w:ind w:left="1134" w:hanging="425"/>
        <w:rPr>
          <w:sz w:val="20"/>
          <w:szCs w:val="20"/>
        </w:rPr>
      </w:pPr>
      <w:r w:rsidRPr="001F5A7B">
        <w:rPr>
          <w:sz w:val="20"/>
          <w:szCs w:val="20"/>
        </w:rPr>
        <w:t>Estendere i servizi di fognatura e depurazione a 88.000 abitanti del Bacino;</w:t>
      </w:r>
    </w:p>
    <w:p w14:paraId="6E2A99A5" w14:textId="77777777" w:rsidR="00620B48" w:rsidRPr="001F5A7B" w:rsidRDefault="00620B48" w:rsidP="00620B48">
      <w:pPr>
        <w:pStyle w:val="elencov"/>
        <w:tabs>
          <w:tab w:val="clear" w:pos="360"/>
        </w:tabs>
        <w:spacing w:line="276" w:lineRule="auto"/>
        <w:ind w:left="1134" w:hanging="425"/>
        <w:rPr>
          <w:sz w:val="20"/>
          <w:szCs w:val="20"/>
        </w:rPr>
      </w:pPr>
      <w:r w:rsidRPr="001F5A7B">
        <w:rPr>
          <w:sz w:val="20"/>
          <w:szCs w:val="20"/>
        </w:rPr>
        <w:t>Allacciare complessivamente alla depurazione 421.000 abitanti del Bacino.</w:t>
      </w:r>
    </w:p>
    <w:p w14:paraId="7355301F" w14:textId="77777777" w:rsidR="00620B48" w:rsidRPr="001F5A7B" w:rsidRDefault="00620B48" w:rsidP="00620B48">
      <w:pPr>
        <w:spacing w:line="276" w:lineRule="auto"/>
        <w:jc w:val="both"/>
        <w:rPr>
          <w:sz w:val="20"/>
          <w:szCs w:val="20"/>
        </w:rPr>
      </w:pPr>
      <w:r w:rsidRPr="001F5A7B">
        <w:rPr>
          <w:sz w:val="20"/>
          <w:szCs w:val="20"/>
        </w:rPr>
        <w:t xml:space="preserve">Per il conseguimento di tali obiettivi sono stati individuati, complessivamente, 42 interventi in corso di attuazione per un </w:t>
      </w:r>
      <w:r w:rsidRPr="00011AAA">
        <w:rPr>
          <w:b/>
          <w:bCs/>
          <w:i/>
          <w:iCs/>
          <w:sz w:val="20"/>
          <w:szCs w:val="20"/>
        </w:rPr>
        <w:t>investimento complessivo di 247,9 Mln €</w:t>
      </w:r>
      <w:r w:rsidRPr="001F5A7B">
        <w:rPr>
          <w:sz w:val="20"/>
          <w:szCs w:val="20"/>
        </w:rPr>
        <w:t>, così suddiviso:</w:t>
      </w:r>
    </w:p>
    <w:p w14:paraId="262405BB" w14:textId="77777777" w:rsidR="00620B48" w:rsidRPr="001F5A7B" w:rsidRDefault="00620B48" w:rsidP="00620B48">
      <w:pPr>
        <w:pStyle w:val="elencov"/>
        <w:tabs>
          <w:tab w:val="clear" w:pos="360"/>
        </w:tabs>
        <w:spacing w:line="276" w:lineRule="auto"/>
        <w:ind w:left="1134" w:hanging="425"/>
        <w:rPr>
          <w:sz w:val="20"/>
          <w:szCs w:val="20"/>
        </w:rPr>
      </w:pPr>
      <w:r w:rsidRPr="001F5A7B">
        <w:rPr>
          <w:sz w:val="20"/>
          <w:szCs w:val="20"/>
        </w:rPr>
        <w:t>35 Interventi con Soggetto Attuatore GORI per un investimento pari a 183,7 Mln €;</w:t>
      </w:r>
    </w:p>
    <w:p w14:paraId="4EFCA323" w14:textId="77777777" w:rsidR="00620B48" w:rsidRPr="001F5A7B" w:rsidRDefault="00620B48" w:rsidP="00620B48">
      <w:pPr>
        <w:pStyle w:val="elencov"/>
        <w:tabs>
          <w:tab w:val="clear" w:pos="360"/>
        </w:tabs>
        <w:spacing w:line="276" w:lineRule="auto"/>
        <w:ind w:left="1134" w:hanging="425"/>
        <w:rPr>
          <w:sz w:val="20"/>
          <w:szCs w:val="20"/>
        </w:rPr>
      </w:pPr>
      <w:r w:rsidRPr="001F5A7B">
        <w:rPr>
          <w:sz w:val="20"/>
          <w:szCs w:val="20"/>
        </w:rPr>
        <w:t>6 interventi gestiti da Regione Campania per un investimento pari a 62 Mln €;</w:t>
      </w:r>
    </w:p>
    <w:p w14:paraId="4D0B4523" w14:textId="77777777" w:rsidR="00620B48" w:rsidRPr="001F5A7B" w:rsidRDefault="00620B48" w:rsidP="00620B48">
      <w:pPr>
        <w:pStyle w:val="elencov"/>
        <w:tabs>
          <w:tab w:val="clear" w:pos="360"/>
        </w:tabs>
        <w:spacing w:line="276" w:lineRule="auto"/>
        <w:ind w:left="1134" w:hanging="425"/>
        <w:rPr>
          <w:sz w:val="20"/>
          <w:szCs w:val="20"/>
        </w:rPr>
      </w:pPr>
      <w:r w:rsidRPr="001F5A7B">
        <w:rPr>
          <w:sz w:val="20"/>
          <w:szCs w:val="20"/>
        </w:rPr>
        <w:t>1 Intervento gestito dalla Provincia di Salerno per un investimento pari a 2,2 Mln €.</w:t>
      </w:r>
    </w:p>
    <w:p w14:paraId="44683E3C" w14:textId="77777777" w:rsidR="00620B48" w:rsidRPr="001F5A7B" w:rsidRDefault="00620B48" w:rsidP="00620B48">
      <w:pPr>
        <w:spacing w:line="276" w:lineRule="auto"/>
        <w:rPr>
          <w:sz w:val="20"/>
          <w:szCs w:val="20"/>
        </w:rPr>
      </w:pPr>
    </w:p>
    <w:p w14:paraId="6E285A90" w14:textId="77777777" w:rsidR="00620B48" w:rsidRPr="001F5A7B" w:rsidRDefault="00620B48" w:rsidP="00620B48">
      <w:pPr>
        <w:spacing w:line="276" w:lineRule="auto"/>
        <w:rPr>
          <w:sz w:val="20"/>
          <w:szCs w:val="20"/>
        </w:rPr>
      </w:pPr>
      <w:r w:rsidRPr="001F5A7B">
        <w:rPr>
          <w:sz w:val="20"/>
          <w:szCs w:val="20"/>
        </w:rPr>
        <w:t xml:space="preserve">Di seguito si riporta il prospetto con evidenza dello stato di avanzamento degli interventi sopra descritti: </w:t>
      </w:r>
    </w:p>
    <w:p w14:paraId="061B9A65" w14:textId="01FE3409" w:rsidR="00620B48" w:rsidRPr="0048757D" w:rsidRDefault="00620B48" w:rsidP="0048757D">
      <w:pPr>
        <w:jc w:val="center"/>
      </w:pPr>
      <w:r w:rsidRPr="000038E1">
        <w:rPr>
          <w:noProof/>
        </w:rPr>
        <w:lastRenderedPageBreak/>
        <w:drawing>
          <wp:inline distT="0" distB="0" distL="0" distR="0" wp14:anchorId="568E3F68" wp14:editId="61F152B1">
            <wp:extent cx="8982962" cy="5147814"/>
            <wp:effectExtent l="0" t="6350" r="2540" b="2540"/>
            <wp:docPr id="29" name="Picture 1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982962" cy="5147814"/>
                    </a:xfrm>
                    <a:prstGeom prst="rect">
                      <a:avLst/>
                    </a:prstGeom>
                    <a:noFill/>
                    <a:ln>
                      <a:noFill/>
                    </a:ln>
                  </pic:spPr>
                </pic:pic>
              </a:graphicData>
            </a:graphic>
          </wp:inline>
        </w:drawing>
      </w:r>
    </w:p>
    <w:p w14:paraId="6BFEC312" w14:textId="77777777" w:rsidR="00620B48" w:rsidRPr="001F5A7B" w:rsidRDefault="00620B48" w:rsidP="00620B48">
      <w:pPr>
        <w:spacing w:line="276" w:lineRule="auto"/>
        <w:rPr>
          <w:sz w:val="20"/>
          <w:szCs w:val="20"/>
        </w:rPr>
      </w:pPr>
      <w:r w:rsidRPr="001F5A7B">
        <w:rPr>
          <w:sz w:val="20"/>
          <w:szCs w:val="20"/>
        </w:rPr>
        <w:lastRenderedPageBreak/>
        <w:t xml:space="preserve">Oltre agli interventi sopra esposti, la GORI è stata individuata </w:t>
      </w:r>
      <w:r>
        <w:rPr>
          <w:sz w:val="20"/>
          <w:szCs w:val="20"/>
        </w:rPr>
        <w:t>S</w:t>
      </w:r>
      <w:r w:rsidRPr="001F5A7B">
        <w:rPr>
          <w:sz w:val="20"/>
          <w:szCs w:val="20"/>
        </w:rPr>
        <w:t xml:space="preserve">oggetto </w:t>
      </w:r>
      <w:r>
        <w:rPr>
          <w:sz w:val="20"/>
          <w:szCs w:val="20"/>
        </w:rPr>
        <w:t>A</w:t>
      </w:r>
      <w:r w:rsidRPr="001F5A7B">
        <w:rPr>
          <w:sz w:val="20"/>
          <w:szCs w:val="20"/>
        </w:rPr>
        <w:t>ttuatore dei seguenti interventi, riportati per linea di finanziamento:</w:t>
      </w:r>
    </w:p>
    <w:p w14:paraId="278E7417" w14:textId="77777777" w:rsidR="00620B48" w:rsidRPr="001F5A7B" w:rsidRDefault="00620B48" w:rsidP="00620B48">
      <w:pPr>
        <w:pStyle w:val="elencof"/>
        <w:spacing w:line="276" w:lineRule="auto"/>
        <w:outlineLvl w:val="9"/>
        <w:rPr>
          <w:sz w:val="20"/>
          <w:szCs w:val="20"/>
        </w:rPr>
      </w:pPr>
      <w:bookmarkStart w:id="3" w:name="_Toc105764146"/>
      <w:r w:rsidRPr="001F5A7B">
        <w:rPr>
          <w:sz w:val="20"/>
          <w:szCs w:val="20"/>
        </w:rPr>
        <w:t xml:space="preserve">INTERVENTI NELL’AMBITO DELL’AVVISO PUBBLICO PNRR M2C1.1 - LINEA C </w:t>
      </w:r>
      <w:bookmarkEnd w:id="3"/>
    </w:p>
    <w:p w14:paraId="1F085539" w14:textId="77777777" w:rsidR="00620B48" w:rsidRPr="001F5A7B" w:rsidRDefault="00620B48" w:rsidP="00620B48">
      <w:pPr>
        <w:spacing w:line="276" w:lineRule="auto"/>
        <w:jc w:val="both"/>
        <w:rPr>
          <w:sz w:val="20"/>
          <w:szCs w:val="20"/>
        </w:rPr>
      </w:pPr>
      <w:r w:rsidRPr="001F5A7B">
        <w:rPr>
          <w:sz w:val="20"/>
          <w:szCs w:val="20"/>
        </w:rPr>
        <w:t>Nell’ambito dell’avviso pubblico emanato dal Decreto del Ministero della Transizione Ecologica (</w:t>
      </w:r>
      <w:proofErr w:type="spellStart"/>
      <w:r w:rsidRPr="001F5A7B">
        <w:rPr>
          <w:sz w:val="20"/>
          <w:szCs w:val="20"/>
        </w:rPr>
        <w:t>MiTE</w:t>
      </w:r>
      <w:proofErr w:type="spellEnd"/>
      <w:r w:rsidRPr="001F5A7B">
        <w:rPr>
          <w:sz w:val="20"/>
          <w:szCs w:val="20"/>
        </w:rPr>
        <w:t>) n.396 del 28 settembre 2021, M2C.1.1 I 1.1 – Linea di intervento C - Ammodernamento (anche con ampliamento di impianti esistenti) e realizzazione di nuovi impianti innovativi di trattamento/riciclaggio per lo smaltimento di materiali assorbenti ad uso personale (PAD), i fanghi di acque reflue, i rifiuti di pelletteria e i rifiuti tessili, sono state sviluppate e candidate a finanziamento n.3 proposte progettuali e con Decreto Ministeriale registrato al n. R.0000206.21-12-22 è stata approvata la graduatoria definitiva delle Proposte ammesse a finanziamento, per la quale due, delle tre proposte candidate, sono state ritenute ammissibili e finanziabili:</w:t>
      </w:r>
    </w:p>
    <w:p w14:paraId="1DBA2E65" w14:textId="77777777" w:rsidR="00620B48" w:rsidRPr="001F5A7B" w:rsidRDefault="00620B48" w:rsidP="00620B48">
      <w:pPr>
        <w:numPr>
          <w:ilvl w:val="0"/>
          <w:numId w:val="8"/>
        </w:numPr>
        <w:spacing w:line="276" w:lineRule="auto"/>
        <w:jc w:val="both"/>
        <w:rPr>
          <w:rFonts w:eastAsia="Times New Roman" w:cs="Calibri"/>
          <w:sz w:val="20"/>
          <w:szCs w:val="20"/>
        </w:rPr>
      </w:pPr>
      <w:r w:rsidRPr="001F5A7B">
        <w:rPr>
          <w:rFonts w:eastAsia="Times New Roman" w:cs="Calibri"/>
          <w:sz w:val="20"/>
          <w:szCs w:val="20"/>
        </w:rPr>
        <w:t>La Proposta MTE11C_00000422 denominata “</w:t>
      </w:r>
      <w:r w:rsidRPr="001F5A7B">
        <w:rPr>
          <w:rFonts w:eastAsia="Times New Roman" w:cs="Calibri"/>
          <w:i/>
          <w:sz w:val="20"/>
          <w:szCs w:val="20"/>
        </w:rPr>
        <w:t>Nocera Superiore – Impianto di produzione di biometano dai fanghi urbani prodotti da 300.000 A.E.”</w:t>
      </w:r>
      <w:r w:rsidRPr="001F5A7B">
        <w:rPr>
          <w:rFonts w:eastAsia="Times New Roman" w:cs="Calibri"/>
          <w:sz w:val="20"/>
          <w:szCs w:val="20"/>
        </w:rPr>
        <w:t xml:space="preserve">  per un importo complessivo di € 9.837.000,00, che con un punteggio di 73,8 si è classificata prima in Italia. </w:t>
      </w:r>
    </w:p>
    <w:p w14:paraId="0A92A57F" w14:textId="77777777" w:rsidR="00620B48" w:rsidRPr="001F5A7B" w:rsidRDefault="00620B48" w:rsidP="00620B48">
      <w:pPr>
        <w:pStyle w:val="Paragrafoelenco"/>
        <w:spacing w:line="276" w:lineRule="auto"/>
        <w:jc w:val="both"/>
        <w:rPr>
          <w:sz w:val="20"/>
          <w:szCs w:val="20"/>
        </w:rPr>
      </w:pPr>
      <w:r w:rsidRPr="001F5A7B">
        <w:rPr>
          <w:rFonts w:eastAsia="Times New Roman" w:cs="Calibri"/>
          <w:sz w:val="20"/>
          <w:szCs w:val="20"/>
        </w:rPr>
        <w:t xml:space="preserve">La proposta riguarda l’impianto di depurazione di Nocera Superiore (SA) della potenzialità di circa 300.000 AE di progetto. L’impianto è caratterizzato, oltre che dal carico civile di circa 110.000 abitanti a servizio di 5 Comuni, da un’importante componente industriale nel periodo estivo, derivante dal comparto conserviero. Il progetto proposto è aderente al Piano di trattamento fanghi sviluppato dal gestore Gori Spa nell’ambito del </w:t>
      </w:r>
      <w:proofErr w:type="spellStart"/>
      <w:r w:rsidRPr="001F5A7B">
        <w:rPr>
          <w:rFonts w:eastAsia="Times New Roman" w:cs="Calibri"/>
          <w:sz w:val="20"/>
          <w:szCs w:val="20"/>
        </w:rPr>
        <w:t>P.d.I</w:t>
      </w:r>
      <w:proofErr w:type="spellEnd"/>
      <w:r w:rsidRPr="001F5A7B">
        <w:rPr>
          <w:rFonts w:eastAsia="Times New Roman" w:cs="Calibri"/>
          <w:sz w:val="20"/>
          <w:szCs w:val="20"/>
        </w:rPr>
        <w:t xml:space="preserve">. MTI-3 20-23 approvato dall’EIC.  L’intervento consentirà di creare un polo innovativo in grado di ridurre complessivamente del 67% l’attuale produzione dei fanghi dell’impianto e generare 2000 </w:t>
      </w:r>
      <w:proofErr w:type="spellStart"/>
      <w:r w:rsidRPr="001F5A7B">
        <w:rPr>
          <w:rFonts w:eastAsia="Times New Roman" w:cs="Calibri"/>
          <w:sz w:val="20"/>
          <w:szCs w:val="20"/>
        </w:rPr>
        <w:t>Smc</w:t>
      </w:r>
      <w:proofErr w:type="spellEnd"/>
      <w:r w:rsidRPr="001F5A7B">
        <w:rPr>
          <w:rFonts w:eastAsia="Times New Roman" w:cs="Calibri"/>
          <w:sz w:val="20"/>
          <w:szCs w:val="20"/>
        </w:rPr>
        <w:t xml:space="preserve">/giorno di Biometano, creando una forte riduzione dell’impatto ambientale nel territorio servito e risulta pienamente allineato con i cardini fondanti del PNRR: Transizione Ecologica e Digitalizzazione. </w:t>
      </w:r>
    </w:p>
    <w:p w14:paraId="36E3B395" w14:textId="77777777" w:rsidR="00620B48" w:rsidRPr="001F5A7B" w:rsidRDefault="00620B48" w:rsidP="00620B48">
      <w:pPr>
        <w:pStyle w:val="Paragrafoelenco"/>
        <w:numPr>
          <w:ilvl w:val="0"/>
          <w:numId w:val="8"/>
        </w:numPr>
        <w:spacing w:line="276" w:lineRule="auto"/>
        <w:contextualSpacing w:val="0"/>
        <w:jc w:val="both"/>
        <w:rPr>
          <w:sz w:val="20"/>
          <w:szCs w:val="20"/>
        </w:rPr>
      </w:pPr>
      <w:r w:rsidRPr="001F5A7B">
        <w:rPr>
          <w:sz w:val="20"/>
          <w:szCs w:val="20"/>
        </w:rPr>
        <w:t>Proposta MTE11C_00000557 denominata “</w:t>
      </w:r>
      <w:r w:rsidRPr="001F5A7B">
        <w:rPr>
          <w:i/>
          <w:sz w:val="20"/>
          <w:szCs w:val="20"/>
        </w:rPr>
        <w:t>Scafati: polo integrato di valorizzazione energetica e riduzione fanghi urbani prodotti da 532.735 AE”</w:t>
      </w:r>
      <w:r w:rsidRPr="001F5A7B">
        <w:rPr>
          <w:sz w:val="20"/>
          <w:szCs w:val="20"/>
        </w:rPr>
        <w:t xml:space="preserve"> per un importo complessivo di € 8.089.000,00 che con un punteggio di 65,67 si è classificata ventunesima in Italia.</w:t>
      </w:r>
    </w:p>
    <w:p w14:paraId="586D28AE" w14:textId="77777777" w:rsidR="00620B48" w:rsidRPr="001F5A7B" w:rsidRDefault="00620B48" w:rsidP="00620B48">
      <w:pPr>
        <w:pStyle w:val="Paragrafoelenco"/>
        <w:spacing w:line="276" w:lineRule="auto"/>
        <w:jc w:val="both"/>
        <w:rPr>
          <w:rFonts w:eastAsia="Times New Roman" w:cs="Calibri"/>
          <w:sz w:val="20"/>
          <w:szCs w:val="20"/>
        </w:rPr>
      </w:pPr>
      <w:r w:rsidRPr="001F5A7B">
        <w:rPr>
          <w:rFonts w:eastAsia="Times New Roman" w:cs="Calibri"/>
          <w:sz w:val="20"/>
          <w:szCs w:val="20"/>
        </w:rPr>
        <w:t>La proposta prevede la realizzazione presso l’impianto di depurazione comprensoriale di Scafati (SA) di una piattaforma centralizzata di trattamento e valorizzazione dei fanghi prodotti da un ampio territorio che, oltre ai reflui urbani afferenti a Scafati, servirà altri depuratori situati nella Penisola Sorrentina, zona ad elevata vocazione turistica, per complessivi 532.735 AE serviti.</w:t>
      </w:r>
    </w:p>
    <w:p w14:paraId="6EBE74F9" w14:textId="77777777" w:rsidR="00620B48" w:rsidRPr="001F5A7B" w:rsidRDefault="00620B48" w:rsidP="00620B48">
      <w:pPr>
        <w:pStyle w:val="Paragrafoelenco"/>
        <w:spacing w:line="276" w:lineRule="auto"/>
        <w:jc w:val="both"/>
        <w:rPr>
          <w:rFonts w:eastAsia="Times New Roman" w:cs="Calibri"/>
          <w:sz w:val="20"/>
          <w:szCs w:val="20"/>
        </w:rPr>
      </w:pPr>
      <w:r w:rsidRPr="001F5A7B">
        <w:rPr>
          <w:rFonts w:eastAsia="Times New Roman" w:cs="Calibri"/>
          <w:sz w:val="20"/>
          <w:szCs w:val="20"/>
        </w:rPr>
        <w:t xml:space="preserve">Il progetto proposto è aderente al Piano di Trattamento Fanghi sviluppato da Gori Spa nell’ambito del Piano degli Interventi MTI-3 2020-2023 approvato dall’EIC e risulta pienamente allineato con i cardini fondanti del PNRR: Transizione Ecologica e Digitalizzazione. </w:t>
      </w:r>
    </w:p>
    <w:p w14:paraId="1B9A6587" w14:textId="77777777" w:rsidR="00620B48" w:rsidRPr="001F5A7B" w:rsidRDefault="00620B48" w:rsidP="00620B48">
      <w:pPr>
        <w:pStyle w:val="Paragrafoelenco"/>
        <w:spacing w:line="276" w:lineRule="auto"/>
        <w:jc w:val="both"/>
        <w:rPr>
          <w:rFonts w:eastAsia="Times New Roman" w:cs="Calibri"/>
          <w:sz w:val="20"/>
          <w:szCs w:val="20"/>
        </w:rPr>
      </w:pPr>
      <w:r w:rsidRPr="001F5A7B">
        <w:rPr>
          <w:rFonts w:eastAsia="Times New Roman" w:cs="Calibri"/>
          <w:sz w:val="20"/>
          <w:szCs w:val="20"/>
        </w:rPr>
        <w:t xml:space="preserve">Gli interventi programmati consentiranno di ridurre di circa il 70% la produzione dei fanghi ed un recupero energetico in autoconsumo elettrico di circa il 50%. </w:t>
      </w:r>
    </w:p>
    <w:p w14:paraId="0D35A345" w14:textId="77777777" w:rsidR="00620B48" w:rsidRPr="001F5A7B" w:rsidRDefault="00620B48" w:rsidP="00620B48">
      <w:pPr>
        <w:spacing w:line="276" w:lineRule="auto"/>
        <w:rPr>
          <w:sz w:val="20"/>
          <w:szCs w:val="20"/>
        </w:rPr>
      </w:pPr>
      <w:r w:rsidRPr="001F5A7B">
        <w:rPr>
          <w:rFonts w:eastAsia="Times New Roman" w:cs="Calibri"/>
          <w:sz w:val="20"/>
          <w:szCs w:val="20"/>
        </w:rPr>
        <w:t xml:space="preserve">Elemento fondamentale è la riduzione di circa il 70% della quantità di fanghi ad oggi conferita a discarica (circa l’80% della produzione annuale). </w:t>
      </w:r>
    </w:p>
    <w:p w14:paraId="5DC53C85" w14:textId="77777777" w:rsidR="00620B48" w:rsidRPr="001F5A7B" w:rsidRDefault="00620B48" w:rsidP="00620B48">
      <w:pPr>
        <w:pStyle w:val="elencof"/>
        <w:spacing w:line="276" w:lineRule="auto"/>
        <w:outlineLvl w:val="9"/>
        <w:rPr>
          <w:sz w:val="20"/>
          <w:szCs w:val="20"/>
        </w:rPr>
      </w:pPr>
      <w:r w:rsidRPr="001F5A7B">
        <w:rPr>
          <w:sz w:val="20"/>
          <w:szCs w:val="20"/>
        </w:rPr>
        <w:t>PNRR FOGNATURA E DEPURAZIONE (DM 191/2022)</w:t>
      </w:r>
    </w:p>
    <w:p w14:paraId="72AFABD4" w14:textId="77777777" w:rsidR="00620B48" w:rsidRPr="001F5A7B" w:rsidRDefault="00620B48" w:rsidP="00620B48">
      <w:pPr>
        <w:spacing w:line="276" w:lineRule="auto"/>
        <w:jc w:val="both"/>
        <w:rPr>
          <w:rFonts w:eastAsia="Times New Roman" w:cs="Calibri"/>
          <w:sz w:val="20"/>
          <w:szCs w:val="20"/>
        </w:rPr>
      </w:pPr>
      <w:r w:rsidRPr="001F5A7B">
        <w:rPr>
          <w:rFonts w:eastAsia="Times New Roman" w:cs="Calibri"/>
          <w:sz w:val="20"/>
          <w:szCs w:val="20"/>
        </w:rPr>
        <w:t>L’obiettivo degli interventi è quello di migliorare il sistema di drenaggio delle acque meteoriche e di raccolta e smaltimento delle acque reflue urbane a servizio dei comuni ricompresi nell’Ambito Distrettuale Sarnese Vesuviano e in gestione diretta della GORI, e più in particolare dei comuni che afferiscono all’impianto di depurazione comprensoriale denominato “</w:t>
      </w:r>
      <w:r>
        <w:rPr>
          <w:rFonts w:eastAsia="Times New Roman" w:cs="Calibri"/>
          <w:sz w:val="20"/>
          <w:szCs w:val="20"/>
        </w:rPr>
        <w:t>A</w:t>
      </w:r>
      <w:r w:rsidRPr="001F5A7B">
        <w:rPr>
          <w:rFonts w:eastAsia="Times New Roman" w:cs="Calibri"/>
          <w:sz w:val="20"/>
          <w:szCs w:val="20"/>
        </w:rPr>
        <w:t>rea Nolana” nel Comune di Nola, tenendo conto delle problematiche legate all’idraulica del territorio e relativa sostenibilità. Difatti, lo sviluppo urbano avvenuto negli anni non ha tenuto conto della compatibilità idraulica con la rete fognaria esistente, richiedendo interventi di adeguamento che tengono conto sia dell’incremento delle aree colanti, sia della riduzione del grado di permeabilità del territorio. Le condizioni al contorno sopra descritte hanno necessariamente implicato l’adeguamento delle reti fognarie esistenti e l’estensione delle stesse in quelle porzioni di territorio urbanizzate, ma comunque sprovviste di un sistema di drenaggio delle acque reflue.</w:t>
      </w:r>
    </w:p>
    <w:p w14:paraId="585FEB56" w14:textId="77777777" w:rsidR="00620B48" w:rsidRPr="001F5A7B" w:rsidRDefault="00620B48" w:rsidP="00620B48">
      <w:pPr>
        <w:spacing w:line="276" w:lineRule="auto"/>
        <w:jc w:val="both"/>
        <w:rPr>
          <w:rFonts w:eastAsia="Times New Roman" w:cs="Calibri"/>
          <w:sz w:val="20"/>
          <w:szCs w:val="20"/>
        </w:rPr>
      </w:pPr>
      <w:r w:rsidRPr="001F5A7B">
        <w:rPr>
          <w:rFonts w:eastAsia="Times New Roman" w:cs="Calibri"/>
          <w:sz w:val="20"/>
          <w:szCs w:val="20"/>
        </w:rPr>
        <w:t xml:space="preserve">L’intervento “INT 72R5 - Comprensorio depurativo Area Nolana - Interventi per la </w:t>
      </w:r>
      <w:proofErr w:type="spellStart"/>
      <w:r w:rsidRPr="001F5A7B">
        <w:rPr>
          <w:rFonts w:eastAsia="Times New Roman" w:cs="Calibri"/>
          <w:sz w:val="20"/>
          <w:szCs w:val="20"/>
        </w:rPr>
        <w:t>distrettualizzazione</w:t>
      </w:r>
      <w:proofErr w:type="spellEnd"/>
      <w:r w:rsidRPr="001F5A7B">
        <w:rPr>
          <w:rFonts w:eastAsia="Times New Roman" w:cs="Calibri"/>
          <w:sz w:val="20"/>
          <w:szCs w:val="20"/>
        </w:rPr>
        <w:t xml:space="preserve"> e il completamento degli schemi fognari comunali e dei sistemi fognari comprensoriali finalizzati ad incrementare la </w:t>
      </w:r>
      <w:r w:rsidRPr="001F5A7B">
        <w:rPr>
          <w:rFonts w:eastAsia="Times New Roman" w:cs="Calibri"/>
          <w:sz w:val="20"/>
          <w:szCs w:val="20"/>
        </w:rPr>
        <w:lastRenderedPageBreak/>
        <w:t>resilienza delle infrastrutture e la riduzione dei fenomeni di allagamento” ha un importo progettuale di € 6,9 mln di euro.</w:t>
      </w:r>
    </w:p>
    <w:p w14:paraId="72D41DE0" w14:textId="77777777" w:rsidR="00620B48" w:rsidRPr="001F5A7B" w:rsidRDefault="00620B48" w:rsidP="00620B48">
      <w:pPr>
        <w:spacing w:line="276" w:lineRule="auto"/>
        <w:jc w:val="both"/>
        <w:rPr>
          <w:sz w:val="20"/>
          <w:szCs w:val="20"/>
          <w:shd w:val="clear" w:color="auto" w:fill="FFFF00"/>
        </w:rPr>
      </w:pPr>
      <w:r w:rsidRPr="001F5A7B">
        <w:rPr>
          <w:sz w:val="20"/>
          <w:szCs w:val="20"/>
        </w:rPr>
        <w:t>Con nota EIC n. di protocollo 61290/2022 del 27.09.2022 sono stati candidati sui finanziamenti a valere su PNRR fognatura e depurazione (DM 191/2022) i seguenti interventi del Protocollo Sarno:</w:t>
      </w:r>
    </w:p>
    <w:p w14:paraId="4E8B2032" w14:textId="77777777" w:rsidR="00620B48" w:rsidRPr="001F5A7B" w:rsidRDefault="00620B48" w:rsidP="00620B48">
      <w:pPr>
        <w:pStyle w:val="Paragrafoelenco"/>
        <w:numPr>
          <w:ilvl w:val="0"/>
          <w:numId w:val="9"/>
        </w:numPr>
        <w:suppressAutoHyphens/>
        <w:autoSpaceDN w:val="0"/>
        <w:spacing w:line="276" w:lineRule="auto"/>
        <w:rPr>
          <w:sz w:val="20"/>
          <w:szCs w:val="20"/>
        </w:rPr>
      </w:pPr>
      <w:r w:rsidRPr="001F5A7B">
        <w:rPr>
          <w:sz w:val="20"/>
          <w:szCs w:val="20"/>
        </w:rPr>
        <w:t>INT 72I8 - Rete interna Torre Annunziata - progetto di completamento;</w:t>
      </w:r>
    </w:p>
    <w:p w14:paraId="4A5F07E3" w14:textId="77777777" w:rsidR="00620B48" w:rsidRPr="001F5A7B" w:rsidRDefault="00620B48" w:rsidP="00620B48">
      <w:pPr>
        <w:pStyle w:val="Paragrafoelenco"/>
        <w:numPr>
          <w:ilvl w:val="0"/>
          <w:numId w:val="9"/>
        </w:numPr>
        <w:suppressAutoHyphens/>
        <w:autoSpaceDN w:val="0"/>
        <w:spacing w:line="276" w:lineRule="auto"/>
        <w:rPr>
          <w:sz w:val="20"/>
          <w:szCs w:val="20"/>
        </w:rPr>
      </w:pPr>
      <w:r w:rsidRPr="001F5A7B">
        <w:rPr>
          <w:sz w:val="20"/>
          <w:szCs w:val="20"/>
        </w:rPr>
        <w:t>INT 72L4 - Opere di completamento della rete fognaria interna del Comune di Sarno;</w:t>
      </w:r>
    </w:p>
    <w:p w14:paraId="3ABE749E" w14:textId="77777777" w:rsidR="00620B48" w:rsidRPr="001F5A7B" w:rsidRDefault="00620B48" w:rsidP="00620B48">
      <w:pPr>
        <w:pStyle w:val="Paragrafoelenco"/>
        <w:numPr>
          <w:ilvl w:val="0"/>
          <w:numId w:val="9"/>
        </w:numPr>
        <w:suppressAutoHyphens/>
        <w:autoSpaceDN w:val="0"/>
        <w:spacing w:line="276" w:lineRule="auto"/>
        <w:rPr>
          <w:sz w:val="20"/>
          <w:szCs w:val="20"/>
        </w:rPr>
      </w:pPr>
      <w:r w:rsidRPr="001F5A7B">
        <w:rPr>
          <w:sz w:val="20"/>
          <w:szCs w:val="20"/>
        </w:rPr>
        <w:t>INT 72I7 - Opere di completamento della rete fognaria del Comune di Angri;</w:t>
      </w:r>
    </w:p>
    <w:p w14:paraId="378CB37B" w14:textId="77777777" w:rsidR="00620B48" w:rsidRPr="001F5A7B" w:rsidRDefault="00620B48" w:rsidP="00620B48">
      <w:pPr>
        <w:pStyle w:val="Paragrafoelenco"/>
        <w:numPr>
          <w:ilvl w:val="0"/>
          <w:numId w:val="9"/>
        </w:numPr>
        <w:suppressAutoHyphens/>
        <w:autoSpaceDN w:val="0"/>
        <w:spacing w:line="276" w:lineRule="auto"/>
        <w:rPr>
          <w:sz w:val="20"/>
          <w:szCs w:val="20"/>
        </w:rPr>
      </w:pPr>
      <w:r w:rsidRPr="001F5A7B">
        <w:rPr>
          <w:sz w:val="20"/>
          <w:szCs w:val="20"/>
        </w:rPr>
        <w:t>INT 72L2 - Opere di completamento della rete fognaria del Comune di Poggiomarino;</w:t>
      </w:r>
    </w:p>
    <w:p w14:paraId="2BCE469C" w14:textId="77777777" w:rsidR="00620B48" w:rsidRPr="001F5A7B" w:rsidRDefault="00620B48" w:rsidP="00620B48">
      <w:pPr>
        <w:pStyle w:val="Paragrafoelenco"/>
        <w:numPr>
          <w:ilvl w:val="0"/>
          <w:numId w:val="9"/>
        </w:numPr>
        <w:suppressAutoHyphens/>
        <w:autoSpaceDN w:val="0"/>
        <w:spacing w:line="276" w:lineRule="auto"/>
        <w:rPr>
          <w:sz w:val="20"/>
          <w:szCs w:val="20"/>
        </w:rPr>
      </w:pPr>
      <w:r w:rsidRPr="001F5A7B">
        <w:rPr>
          <w:sz w:val="20"/>
          <w:szCs w:val="20"/>
        </w:rPr>
        <w:t>INT 7323 – Impianto di depurazione Foce Sarno – Progetto di adeguamento – I Lotto.</w:t>
      </w:r>
    </w:p>
    <w:p w14:paraId="237788BE" w14:textId="77777777" w:rsidR="00620B48" w:rsidRPr="001F5A7B" w:rsidRDefault="00620B48" w:rsidP="00620B48">
      <w:pPr>
        <w:spacing w:line="276" w:lineRule="auto"/>
        <w:rPr>
          <w:sz w:val="20"/>
          <w:szCs w:val="20"/>
        </w:rPr>
      </w:pPr>
      <w:r w:rsidRPr="001F5A7B">
        <w:rPr>
          <w:sz w:val="20"/>
          <w:szCs w:val="20"/>
        </w:rPr>
        <w:t>Sono presenti, inoltre, nella stessa nota i seguenti interventi candidati come riserva:</w:t>
      </w:r>
    </w:p>
    <w:p w14:paraId="3BC5B219" w14:textId="77777777" w:rsidR="00620B48" w:rsidRPr="001F5A7B" w:rsidRDefault="00620B48" w:rsidP="00620B48">
      <w:pPr>
        <w:pStyle w:val="Paragrafoelenco"/>
        <w:numPr>
          <w:ilvl w:val="0"/>
          <w:numId w:val="10"/>
        </w:numPr>
        <w:suppressAutoHyphens/>
        <w:autoSpaceDN w:val="0"/>
        <w:spacing w:line="276" w:lineRule="auto"/>
        <w:rPr>
          <w:sz w:val="20"/>
          <w:szCs w:val="20"/>
        </w:rPr>
      </w:pPr>
      <w:r w:rsidRPr="001F5A7B">
        <w:rPr>
          <w:sz w:val="20"/>
          <w:szCs w:val="20"/>
        </w:rPr>
        <w:t>INT 7324 - Impianto di depurazione Foce Sarno - Progetto di adeguamento - II Lotto</w:t>
      </w:r>
    </w:p>
    <w:p w14:paraId="2A4E3117" w14:textId="77777777" w:rsidR="00620B48" w:rsidRPr="001F5A7B" w:rsidRDefault="00620B48" w:rsidP="00620B48">
      <w:pPr>
        <w:pStyle w:val="Paragrafoelenco"/>
        <w:numPr>
          <w:ilvl w:val="0"/>
          <w:numId w:val="10"/>
        </w:numPr>
        <w:suppressAutoHyphens/>
        <w:autoSpaceDN w:val="0"/>
        <w:spacing w:line="276" w:lineRule="auto"/>
        <w:rPr>
          <w:sz w:val="20"/>
          <w:szCs w:val="20"/>
        </w:rPr>
      </w:pPr>
      <w:r w:rsidRPr="001F5A7B">
        <w:rPr>
          <w:sz w:val="20"/>
          <w:szCs w:val="20"/>
        </w:rPr>
        <w:t>INT 7321 - Impianto depurazione Angri - progetto di adeguamento - II lotto</w:t>
      </w:r>
    </w:p>
    <w:p w14:paraId="14BE0830" w14:textId="77777777" w:rsidR="00620B48" w:rsidRPr="001F5A7B" w:rsidRDefault="00620B48" w:rsidP="00620B48">
      <w:pPr>
        <w:pStyle w:val="Paragrafoelenco"/>
        <w:suppressAutoHyphens/>
        <w:autoSpaceDN w:val="0"/>
        <w:spacing w:line="276" w:lineRule="auto"/>
        <w:rPr>
          <w:sz w:val="20"/>
          <w:szCs w:val="20"/>
        </w:rPr>
      </w:pPr>
    </w:p>
    <w:p w14:paraId="594CE231" w14:textId="77777777" w:rsidR="00620B48" w:rsidRPr="001F5A7B" w:rsidRDefault="00620B48" w:rsidP="00620B48">
      <w:pPr>
        <w:pStyle w:val="elencof"/>
        <w:spacing w:line="276" w:lineRule="auto"/>
        <w:outlineLvl w:val="9"/>
        <w:rPr>
          <w:sz w:val="20"/>
          <w:szCs w:val="20"/>
        </w:rPr>
      </w:pPr>
      <w:r w:rsidRPr="001F5A7B">
        <w:rPr>
          <w:sz w:val="20"/>
          <w:szCs w:val="20"/>
        </w:rPr>
        <w:t>Interventi opere OO.RR. –</w:t>
      </w:r>
      <w:r w:rsidRPr="001F5A7B">
        <w:rPr>
          <w:bCs/>
          <w:sz w:val="20"/>
          <w:szCs w:val="20"/>
        </w:rPr>
        <w:t xml:space="preserve">DGRC 464/2022 – Depurazione </w:t>
      </w:r>
    </w:p>
    <w:p w14:paraId="758E59F3" w14:textId="77777777" w:rsidR="00620B48" w:rsidRPr="001F5A7B" w:rsidRDefault="00620B48" w:rsidP="00620B48">
      <w:pPr>
        <w:spacing w:line="276" w:lineRule="auto"/>
        <w:jc w:val="both"/>
        <w:rPr>
          <w:sz w:val="20"/>
          <w:szCs w:val="20"/>
        </w:rPr>
      </w:pPr>
      <w:r w:rsidRPr="001F5A7B">
        <w:rPr>
          <w:sz w:val="20"/>
          <w:szCs w:val="20"/>
        </w:rPr>
        <w:t>Con il trasferimento delle Opere Regionali effettuato anche in esecuzione dell’Accordo Operativo stipulato in data 8 novembre 2018 tra Regione Campania, EIC e GORI sono stati definiti – nell’ambito degli appositi verbali di trasferimento – gli stati di consistenza delle singole infrastrutture idriche, fognarie e depurative mediante un’attività tecnica eseguita congiuntamente tra le parti citate. In particolare, gli stati di consistenza hanno evidenziato una serie di criticità sulle opere oggetto di trasferimento per le quali è stato dato atto dell’assoluta esigenza di eseguire i conseguenti interventi da parte della GORI. Pertanto, al fine di poter concorrere utilmente al loro finanziamento nell’ambito delle misure previste dal P.O.R. FESR 2014-2020, la GORI ha inviato proposte progettuali che prevedono la rimozione delle criticità rilevate al trasferimento delle opere regionali, consistenti nella riduzione delle perdite, efficientamento energetico ed adeguamento normativo degli impianti, relativamente alle reti della grande adduzione del servizio idrico integrato dell’Ambito Distrettuale Sarnese Vesuviano della Regione Campania e degli impianti di depurazione comprensoriali trasferiti.</w:t>
      </w:r>
    </w:p>
    <w:p w14:paraId="711DAB8C" w14:textId="77777777" w:rsidR="00620B48" w:rsidRPr="001F5A7B" w:rsidRDefault="00620B48" w:rsidP="00620B48">
      <w:pPr>
        <w:spacing w:line="276" w:lineRule="auto"/>
        <w:jc w:val="both"/>
        <w:rPr>
          <w:sz w:val="20"/>
          <w:szCs w:val="20"/>
        </w:rPr>
      </w:pPr>
      <w:r w:rsidRPr="001F5A7B">
        <w:rPr>
          <w:sz w:val="20"/>
          <w:szCs w:val="20"/>
        </w:rPr>
        <w:t>La Regione Campania con Delibera di Giunta Regionale n. 464/2022 ha</w:t>
      </w:r>
      <w:r w:rsidRPr="001F5A7B">
        <w:rPr>
          <w:bCs/>
          <w:sz w:val="20"/>
          <w:szCs w:val="20"/>
        </w:rPr>
        <w:t xml:space="preserve"> ammesso a finanziamento i seguenti interventi nell’ambito della Depurazione:</w:t>
      </w:r>
    </w:p>
    <w:tbl>
      <w:tblPr>
        <w:tblW w:w="959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546"/>
        <w:gridCol w:w="7070"/>
        <w:gridCol w:w="1976"/>
      </w:tblGrid>
      <w:tr w:rsidR="00620B48" w:rsidRPr="00227E93" w14:paraId="1ECA3056" w14:textId="77777777" w:rsidTr="00620B48">
        <w:trPr>
          <w:trHeight w:val="216"/>
        </w:trPr>
        <w:tc>
          <w:tcPr>
            <w:tcW w:w="546" w:type="dxa"/>
            <w:shd w:val="clear" w:color="auto" w:fill="002060"/>
            <w:vAlign w:val="center"/>
            <w:hideMark/>
          </w:tcPr>
          <w:p w14:paraId="1A4B05D5"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ID</w:t>
            </w:r>
          </w:p>
        </w:tc>
        <w:tc>
          <w:tcPr>
            <w:tcW w:w="7070" w:type="dxa"/>
            <w:shd w:val="clear" w:color="auto" w:fill="002060"/>
            <w:vAlign w:val="center"/>
            <w:hideMark/>
          </w:tcPr>
          <w:p w14:paraId="4B2B8C7A"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LINEA DI INTERVENTO</w:t>
            </w:r>
          </w:p>
        </w:tc>
        <w:tc>
          <w:tcPr>
            <w:tcW w:w="1976" w:type="dxa"/>
            <w:shd w:val="clear" w:color="auto" w:fill="002060"/>
            <w:vAlign w:val="center"/>
            <w:hideMark/>
          </w:tcPr>
          <w:p w14:paraId="60B904D4" w14:textId="77777777" w:rsidR="00620B48" w:rsidRPr="00227E93" w:rsidRDefault="00620B48" w:rsidP="00AB188A">
            <w:pPr>
              <w:spacing w:after="0" w:line="240" w:lineRule="auto"/>
              <w:jc w:val="right"/>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 xml:space="preserve">TOTALE </w:t>
            </w:r>
          </w:p>
          <w:p w14:paraId="34FB110F" w14:textId="77777777" w:rsidR="00620B48" w:rsidRPr="00227E93" w:rsidRDefault="00620B48" w:rsidP="00AB188A">
            <w:pPr>
              <w:spacing w:after="0" w:line="240" w:lineRule="auto"/>
              <w:jc w:val="right"/>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INVESTIMENTO</w:t>
            </w:r>
          </w:p>
        </w:tc>
      </w:tr>
      <w:tr w:rsidR="00620B48" w:rsidRPr="00011AAA" w14:paraId="6DE8F7FE" w14:textId="77777777" w:rsidTr="00620B48">
        <w:trPr>
          <w:trHeight w:val="216"/>
        </w:trPr>
        <w:tc>
          <w:tcPr>
            <w:tcW w:w="546" w:type="dxa"/>
            <w:shd w:val="clear" w:color="auto" w:fill="FFFFFF" w:themeFill="background1"/>
            <w:vAlign w:val="center"/>
            <w:hideMark/>
          </w:tcPr>
          <w:p w14:paraId="4DAD1C72"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1</w:t>
            </w:r>
          </w:p>
        </w:tc>
        <w:tc>
          <w:tcPr>
            <w:tcW w:w="7070" w:type="dxa"/>
            <w:shd w:val="clear" w:color="auto" w:fill="FFFFFF" w:themeFill="background1"/>
            <w:vAlign w:val="center"/>
            <w:hideMark/>
          </w:tcPr>
          <w:p w14:paraId="05292D04"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IMPIANTO DI DEPURAZIONE MERCATO SAN SEVERINO (ALTO SARNO)</w:t>
            </w:r>
          </w:p>
        </w:tc>
        <w:tc>
          <w:tcPr>
            <w:tcW w:w="1976" w:type="dxa"/>
            <w:shd w:val="clear" w:color="auto" w:fill="FFFFFF" w:themeFill="background1"/>
            <w:vAlign w:val="center"/>
            <w:hideMark/>
          </w:tcPr>
          <w:p w14:paraId="17B09FA3"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1.270.000 €</w:t>
            </w:r>
          </w:p>
        </w:tc>
      </w:tr>
      <w:tr w:rsidR="00620B48" w:rsidRPr="00011AAA" w14:paraId="683CD017" w14:textId="77777777" w:rsidTr="00620B48">
        <w:trPr>
          <w:trHeight w:val="360"/>
        </w:trPr>
        <w:tc>
          <w:tcPr>
            <w:tcW w:w="546" w:type="dxa"/>
            <w:shd w:val="clear" w:color="auto" w:fill="FFFFFF" w:themeFill="background1"/>
            <w:vAlign w:val="center"/>
            <w:hideMark/>
          </w:tcPr>
          <w:p w14:paraId="1D7ECBEE"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2</w:t>
            </w:r>
          </w:p>
        </w:tc>
        <w:tc>
          <w:tcPr>
            <w:tcW w:w="7070" w:type="dxa"/>
            <w:shd w:val="clear" w:color="auto" w:fill="FFFFFF" w:themeFill="background1"/>
            <w:vAlign w:val="center"/>
            <w:hideMark/>
          </w:tcPr>
          <w:p w14:paraId="2462184B"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IMPIANTO DI DEPURAZIONE AREA NOLANA - INTERVENTI DI UPGRADING FINALIZZATI ALL'EFFICIENTAMENTO ENERGETICO E ALL'OTTIMIZZAZIONE DELLA LINEA ACQUE - LOTTO 1</w:t>
            </w:r>
          </w:p>
        </w:tc>
        <w:tc>
          <w:tcPr>
            <w:tcW w:w="1976" w:type="dxa"/>
            <w:shd w:val="clear" w:color="auto" w:fill="FFFFFF" w:themeFill="background1"/>
            <w:vAlign w:val="center"/>
            <w:hideMark/>
          </w:tcPr>
          <w:p w14:paraId="624ABCE0"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1.440.000 €</w:t>
            </w:r>
          </w:p>
        </w:tc>
      </w:tr>
      <w:tr w:rsidR="00620B48" w:rsidRPr="00011AAA" w14:paraId="6A945FBE" w14:textId="77777777" w:rsidTr="00620B48">
        <w:trPr>
          <w:trHeight w:val="216"/>
        </w:trPr>
        <w:tc>
          <w:tcPr>
            <w:tcW w:w="546" w:type="dxa"/>
            <w:shd w:val="clear" w:color="auto" w:fill="D9D9D9" w:themeFill="background1" w:themeFillShade="D9"/>
            <w:vAlign w:val="center"/>
            <w:hideMark/>
          </w:tcPr>
          <w:p w14:paraId="0007DFB8"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 </w:t>
            </w:r>
          </w:p>
        </w:tc>
        <w:tc>
          <w:tcPr>
            <w:tcW w:w="7070" w:type="dxa"/>
            <w:shd w:val="clear" w:color="auto" w:fill="D9D9D9" w:themeFill="background1" w:themeFillShade="D9"/>
            <w:vAlign w:val="center"/>
            <w:hideMark/>
          </w:tcPr>
          <w:p w14:paraId="491E55C2" w14:textId="77777777" w:rsidR="00620B48" w:rsidRPr="00227E93" w:rsidRDefault="00620B48" w:rsidP="00AB188A">
            <w:pPr>
              <w:spacing w:after="0" w:line="240" w:lineRule="auto"/>
              <w:jc w:val="right"/>
              <w:rPr>
                <w:rFonts w:eastAsia="Times New Roman" w:cs="Calibri"/>
                <w:b/>
                <w:bCs/>
                <w:sz w:val="14"/>
                <w:szCs w:val="14"/>
              </w:rPr>
            </w:pPr>
            <w:r w:rsidRPr="00227E93">
              <w:rPr>
                <w:rFonts w:eastAsia="Times New Roman" w:cs="Calibri"/>
                <w:b/>
                <w:bCs/>
                <w:sz w:val="14"/>
                <w:szCs w:val="14"/>
              </w:rPr>
              <w:t>TOTALE</w:t>
            </w:r>
          </w:p>
        </w:tc>
        <w:tc>
          <w:tcPr>
            <w:tcW w:w="1976" w:type="dxa"/>
            <w:shd w:val="clear" w:color="auto" w:fill="D9D9D9" w:themeFill="background1" w:themeFillShade="D9"/>
            <w:vAlign w:val="center"/>
            <w:hideMark/>
          </w:tcPr>
          <w:p w14:paraId="2BCCCAFF" w14:textId="77777777" w:rsidR="00620B48" w:rsidRPr="00227E93" w:rsidRDefault="00620B48" w:rsidP="00AB188A">
            <w:pPr>
              <w:spacing w:after="0" w:line="240" w:lineRule="auto"/>
              <w:jc w:val="right"/>
              <w:rPr>
                <w:rFonts w:eastAsia="Times New Roman" w:cs="Calibri"/>
                <w:b/>
                <w:bCs/>
                <w:sz w:val="14"/>
                <w:szCs w:val="14"/>
              </w:rPr>
            </w:pPr>
            <w:r w:rsidRPr="00227E93">
              <w:rPr>
                <w:rFonts w:eastAsia="Times New Roman" w:cs="Calibri"/>
                <w:b/>
                <w:bCs/>
                <w:sz w:val="14"/>
                <w:szCs w:val="14"/>
              </w:rPr>
              <w:t>2.710.000 €</w:t>
            </w:r>
          </w:p>
        </w:tc>
      </w:tr>
    </w:tbl>
    <w:p w14:paraId="5929E453" w14:textId="77777777" w:rsidR="00620B48" w:rsidRDefault="00620B48" w:rsidP="00620B48">
      <w:pPr>
        <w:spacing w:line="276" w:lineRule="auto"/>
        <w:rPr>
          <w:shd w:val="clear" w:color="auto" w:fill="FFFF00"/>
        </w:rPr>
      </w:pPr>
    </w:p>
    <w:p w14:paraId="372917FF" w14:textId="77777777" w:rsidR="00620B48" w:rsidRPr="001F5A7B" w:rsidRDefault="00620B48" w:rsidP="00620B48">
      <w:pPr>
        <w:keepNext/>
        <w:keepLines/>
        <w:spacing w:line="276" w:lineRule="auto"/>
        <w:rPr>
          <w:rFonts w:eastAsia="Times New Roman" w:cs="Calibri"/>
          <w:sz w:val="20"/>
          <w:szCs w:val="20"/>
        </w:rPr>
      </w:pPr>
      <w:r w:rsidRPr="001F5A7B">
        <w:rPr>
          <w:rFonts w:eastAsia="Times New Roman" w:cs="Calibri"/>
          <w:sz w:val="20"/>
          <w:szCs w:val="20"/>
        </w:rPr>
        <w:t xml:space="preserve">Inoltre, sono in corso i seguenti ulteriori interventi: </w:t>
      </w:r>
    </w:p>
    <w:p w14:paraId="3E8A754B" w14:textId="77777777" w:rsidR="00620B48" w:rsidRPr="001F5A7B" w:rsidRDefault="00620B48" w:rsidP="00620B48">
      <w:pPr>
        <w:keepNext/>
        <w:keepLines/>
        <w:numPr>
          <w:ilvl w:val="0"/>
          <w:numId w:val="6"/>
        </w:numPr>
        <w:suppressAutoHyphens/>
        <w:autoSpaceDN w:val="0"/>
        <w:spacing w:before="120" w:line="276" w:lineRule="auto"/>
        <w:jc w:val="both"/>
        <w:rPr>
          <w:rFonts w:eastAsia="Times New Roman" w:cs="Calibri"/>
          <w:sz w:val="20"/>
          <w:szCs w:val="20"/>
        </w:rPr>
      </w:pPr>
      <w:r w:rsidRPr="001F5A7B">
        <w:rPr>
          <w:rFonts w:eastAsia="Times New Roman" w:cs="Calibri"/>
          <w:sz w:val="20"/>
          <w:szCs w:val="20"/>
        </w:rPr>
        <w:t xml:space="preserve">INT. 7202 - RI.GR.93 - Comune di Ercolano - opere di completamento del sistema fognario della località San Vito - Lotto A 2° Stralcio, importo € 2,4 ml - Convenzione stipulata in data 11/01/2008 REP. 5968 tra Comune di Ercolano, Ente d’Ambito Sarnese-Vesuviano e GORI </w:t>
      </w:r>
      <w:proofErr w:type="spellStart"/>
      <w:r w:rsidRPr="001F5A7B">
        <w:rPr>
          <w:rFonts w:eastAsia="Times New Roman" w:cs="Calibri"/>
          <w:sz w:val="20"/>
          <w:szCs w:val="20"/>
        </w:rPr>
        <w:t>S.p.A</w:t>
      </w:r>
      <w:proofErr w:type="spellEnd"/>
      <w:r w:rsidRPr="001F5A7B">
        <w:rPr>
          <w:rFonts w:eastAsia="Times New Roman" w:cs="Calibri"/>
          <w:sz w:val="20"/>
          <w:szCs w:val="20"/>
        </w:rPr>
        <w:t xml:space="preserve"> – Linea di finanziamento Piano Sviluppo e Coesione (PSC) </w:t>
      </w:r>
    </w:p>
    <w:p w14:paraId="60C2880C" w14:textId="77777777" w:rsidR="00620B48" w:rsidRPr="001F5A7B" w:rsidRDefault="00620B48" w:rsidP="00620B48">
      <w:pPr>
        <w:keepNext/>
        <w:keepLines/>
        <w:numPr>
          <w:ilvl w:val="0"/>
          <w:numId w:val="6"/>
        </w:numPr>
        <w:suppressAutoHyphens/>
        <w:autoSpaceDN w:val="0"/>
        <w:spacing w:before="120" w:line="276" w:lineRule="auto"/>
        <w:jc w:val="both"/>
        <w:rPr>
          <w:rFonts w:eastAsia="Times New Roman" w:cs="Calibri"/>
          <w:sz w:val="20"/>
          <w:szCs w:val="20"/>
        </w:rPr>
      </w:pPr>
      <w:r w:rsidRPr="001F5A7B">
        <w:rPr>
          <w:rFonts w:eastAsia="Times New Roman" w:cs="Calibri"/>
          <w:sz w:val="20"/>
          <w:szCs w:val="20"/>
        </w:rPr>
        <w:t>Rete di collettori a servizio dei Comuni di Ottaviano, San Giuseppe Vesuviano, Terzigno, Poggiomarino, Striano, Sarno e San Valentino Torio (</w:t>
      </w:r>
      <w:proofErr w:type="spellStart"/>
      <w:r w:rsidRPr="001F5A7B">
        <w:rPr>
          <w:rFonts w:eastAsia="Times New Roman" w:cs="Calibri"/>
          <w:sz w:val="20"/>
          <w:szCs w:val="20"/>
        </w:rPr>
        <w:t>subcomprensorio</w:t>
      </w:r>
      <w:proofErr w:type="spellEnd"/>
      <w:r w:rsidRPr="001F5A7B">
        <w:rPr>
          <w:rFonts w:eastAsia="Times New Roman" w:cs="Calibri"/>
          <w:sz w:val="20"/>
          <w:szCs w:val="20"/>
        </w:rPr>
        <w:t xml:space="preserve"> n.2). Regione Campania: Decreto Dirigenziale n.437 del 18/09/2018 e Decreto Dirigenziale n.339 del 31/07/2019</w:t>
      </w:r>
    </w:p>
    <w:p w14:paraId="21EA3158" w14:textId="77777777" w:rsidR="00620B48" w:rsidRPr="001F5A7B" w:rsidRDefault="00620B48" w:rsidP="00620B48">
      <w:pPr>
        <w:spacing w:line="276" w:lineRule="auto"/>
        <w:rPr>
          <w:sz w:val="20"/>
          <w:szCs w:val="20"/>
        </w:rPr>
      </w:pPr>
    </w:p>
    <w:p w14:paraId="3073AF8C" w14:textId="77777777" w:rsidR="00620B48" w:rsidRPr="0048757D" w:rsidRDefault="00620B48" w:rsidP="00620B48">
      <w:pPr>
        <w:spacing w:line="276" w:lineRule="auto"/>
        <w:rPr>
          <w:rFonts w:cstheme="minorHAnsi"/>
          <w:b/>
          <w:bCs/>
          <w:color w:val="000000" w:themeColor="text1"/>
          <w:sz w:val="20"/>
          <w:szCs w:val="20"/>
        </w:rPr>
      </w:pPr>
      <w:bookmarkStart w:id="4" w:name="_Toc127550977"/>
      <w:r w:rsidRPr="0048757D">
        <w:rPr>
          <w:rFonts w:cstheme="minorHAnsi"/>
          <w:b/>
          <w:bCs/>
          <w:color w:val="000000" w:themeColor="text1"/>
          <w:sz w:val="20"/>
          <w:szCs w:val="20"/>
        </w:rPr>
        <w:t>Programma Azioni per l’acqua</w:t>
      </w:r>
      <w:bookmarkEnd w:id="4"/>
      <w:r w:rsidRPr="0048757D">
        <w:rPr>
          <w:rFonts w:cstheme="minorHAnsi"/>
          <w:b/>
          <w:bCs/>
          <w:color w:val="000000" w:themeColor="text1"/>
          <w:sz w:val="20"/>
          <w:szCs w:val="20"/>
        </w:rPr>
        <w:t xml:space="preserve"> </w:t>
      </w:r>
    </w:p>
    <w:p w14:paraId="612258A3" w14:textId="77777777" w:rsidR="00620B48" w:rsidRPr="001F5A7B" w:rsidRDefault="00620B48" w:rsidP="00620B48">
      <w:pPr>
        <w:spacing w:line="276" w:lineRule="auto"/>
        <w:jc w:val="both"/>
        <w:rPr>
          <w:sz w:val="20"/>
          <w:szCs w:val="20"/>
        </w:rPr>
      </w:pPr>
      <w:r w:rsidRPr="001F5A7B">
        <w:rPr>
          <w:sz w:val="20"/>
          <w:szCs w:val="20"/>
        </w:rPr>
        <w:t xml:space="preserve">La linea strategica perseguita dal programma Azioni per l’acqua è quella della riduzione delle perdite idriche e digitalizzazione delle infrastrutture per il servizio idrico. </w:t>
      </w:r>
    </w:p>
    <w:p w14:paraId="7DAF49B1" w14:textId="77777777" w:rsidR="00620B48" w:rsidRPr="001F5A7B" w:rsidRDefault="00620B48" w:rsidP="00620B48">
      <w:pPr>
        <w:spacing w:line="276" w:lineRule="auto"/>
        <w:rPr>
          <w:sz w:val="20"/>
          <w:szCs w:val="20"/>
        </w:rPr>
      </w:pPr>
      <w:r w:rsidRPr="001F5A7B">
        <w:rPr>
          <w:sz w:val="20"/>
          <w:szCs w:val="20"/>
        </w:rPr>
        <w:lastRenderedPageBreak/>
        <w:t>Nel 2022 GORI è risultata assegnataria di finanziamenti per € 100.000.000,00 in due misure di seguito illustrate:</w:t>
      </w:r>
    </w:p>
    <w:p w14:paraId="48AAFB65" w14:textId="77777777" w:rsidR="00620B48" w:rsidRPr="003E3463" w:rsidRDefault="00620B48" w:rsidP="00620B48">
      <w:pPr>
        <w:pStyle w:val="Paragrafoelenco"/>
        <w:numPr>
          <w:ilvl w:val="0"/>
          <w:numId w:val="7"/>
        </w:numPr>
        <w:suppressAutoHyphens/>
        <w:autoSpaceDN w:val="0"/>
        <w:spacing w:line="276" w:lineRule="auto"/>
        <w:jc w:val="both"/>
        <w:rPr>
          <w:sz w:val="20"/>
          <w:szCs w:val="20"/>
        </w:rPr>
      </w:pPr>
      <w:r w:rsidRPr="001F5A7B">
        <w:rPr>
          <w:sz w:val="20"/>
          <w:szCs w:val="20"/>
        </w:rPr>
        <w:t>Investimenti finanziati nell’Ambito della misura PON INFRASTRUTTURE E RETI 2014 – 2020 Linea di Azione IV 1.1 Riduzione delle perdite nelle reti di distribuzione dell’acqua, compresa la digitalizzazione e il monitoraggio delle reti</w:t>
      </w:r>
      <w:r>
        <w:rPr>
          <w:sz w:val="20"/>
          <w:szCs w:val="20"/>
        </w:rPr>
        <w:t xml:space="preserve">, </w:t>
      </w:r>
      <w:r w:rsidRPr="00DC36AD">
        <w:rPr>
          <w:rFonts w:cstheme="minorHAnsi"/>
          <w:sz w:val="20"/>
          <w:szCs w:val="20"/>
        </w:rPr>
        <w:t>per la messa in efficienza delle reti idriche di distribuzione del SII in una serie di Comuni dell’ambito Distrettuale Sarnese-Vesuviano</w:t>
      </w:r>
      <w:r w:rsidRPr="00FA6E7E">
        <w:rPr>
          <w:rFonts w:cstheme="minorHAnsi"/>
          <w:sz w:val="20"/>
          <w:szCs w:val="20"/>
        </w:rPr>
        <w:t>,</w:t>
      </w:r>
      <w:r w:rsidRPr="00DC36AD">
        <w:rPr>
          <w:rFonts w:cstheme="minorHAnsi"/>
          <w:sz w:val="20"/>
          <w:szCs w:val="20"/>
        </w:rPr>
        <w:t xml:space="preserve"> </w:t>
      </w:r>
      <w:r w:rsidRPr="003E3463">
        <w:rPr>
          <w:rFonts w:cstheme="minorHAnsi"/>
          <w:b/>
          <w:bCs/>
          <w:i/>
          <w:iCs/>
          <w:sz w:val="20"/>
          <w:szCs w:val="20"/>
        </w:rPr>
        <w:t>“REACT-EU”</w:t>
      </w:r>
    </w:p>
    <w:p w14:paraId="627B2157" w14:textId="77777777" w:rsidR="00620B48" w:rsidRPr="001F5A7B" w:rsidRDefault="00620B48" w:rsidP="00620B48">
      <w:pPr>
        <w:pStyle w:val="Paragrafoelenco"/>
        <w:suppressAutoHyphens/>
        <w:autoSpaceDN w:val="0"/>
        <w:spacing w:line="276" w:lineRule="auto"/>
        <w:jc w:val="both"/>
        <w:rPr>
          <w:sz w:val="20"/>
          <w:szCs w:val="20"/>
        </w:rPr>
      </w:pPr>
    </w:p>
    <w:p w14:paraId="28BAE3AB" w14:textId="77777777" w:rsidR="00620B48" w:rsidRPr="001F5A7B" w:rsidRDefault="00620B48" w:rsidP="00620B48">
      <w:pPr>
        <w:pStyle w:val="Paragrafoelenco"/>
        <w:numPr>
          <w:ilvl w:val="1"/>
          <w:numId w:val="7"/>
        </w:numPr>
        <w:suppressAutoHyphens/>
        <w:autoSpaceDN w:val="0"/>
        <w:spacing w:line="276" w:lineRule="auto"/>
        <w:jc w:val="both"/>
        <w:rPr>
          <w:sz w:val="20"/>
          <w:szCs w:val="20"/>
        </w:rPr>
      </w:pPr>
      <w:r w:rsidRPr="001F5A7B">
        <w:rPr>
          <w:sz w:val="20"/>
          <w:szCs w:val="20"/>
        </w:rPr>
        <w:t>“</w:t>
      </w:r>
      <w:r w:rsidRPr="001F5A7B">
        <w:rPr>
          <w:b/>
          <w:bCs/>
          <w:sz w:val="20"/>
          <w:szCs w:val="20"/>
        </w:rPr>
        <w:t>Accordo quadro per gli interventi di criticità 1</w:t>
      </w:r>
      <w:r w:rsidRPr="001F5A7B">
        <w:rPr>
          <w:sz w:val="20"/>
          <w:szCs w:val="20"/>
        </w:rPr>
        <w:t xml:space="preserve"> - Ambito dell’intervento Comuni di: Angri, Boscoreale, Castellamare di Stabia, Gragnano, Marigliano, Nocera inferiore, Nola, Pagani, Pompei, Scafati, Torre Annunziata, Torre del Greco” – importo complessivo di € 25.173.169,44 (“Intervento di criticità 1”);</w:t>
      </w:r>
    </w:p>
    <w:p w14:paraId="24BCE187" w14:textId="77777777" w:rsidR="00620B48" w:rsidRPr="001F5A7B" w:rsidRDefault="00620B48" w:rsidP="00620B48">
      <w:pPr>
        <w:pStyle w:val="Paragrafoelenco"/>
        <w:numPr>
          <w:ilvl w:val="1"/>
          <w:numId w:val="7"/>
        </w:numPr>
        <w:suppressAutoHyphens/>
        <w:autoSpaceDN w:val="0"/>
        <w:spacing w:line="276" w:lineRule="auto"/>
        <w:jc w:val="both"/>
        <w:rPr>
          <w:sz w:val="20"/>
          <w:szCs w:val="20"/>
        </w:rPr>
      </w:pPr>
      <w:r w:rsidRPr="001F5A7B">
        <w:rPr>
          <w:sz w:val="20"/>
          <w:szCs w:val="20"/>
        </w:rPr>
        <w:t>“</w:t>
      </w:r>
      <w:r w:rsidRPr="001F5A7B">
        <w:rPr>
          <w:b/>
          <w:bCs/>
          <w:sz w:val="20"/>
          <w:szCs w:val="20"/>
        </w:rPr>
        <w:t>Accordo quadro per gli interventi di criticità 2</w:t>
      </w:r>
      <w:r w:rsidRPr="001F5A7B">
        <w:rPr>
          <w:sz w:val="20"/>
          <w:szCs w:val="20"/>
        </w:rPr>
        <w:t xml:space="preserve"> – Ambito dell’intervento comuni di: Massa Lubrense, Casalnuovo di Napoli, Ercolano, Fisciano, Sant'Antonio Abate, Nocera Superiore, Portici, Sant'Egidio del Monte Albino, Sarno, Sorrento” - importo complessivo di € 24.797.489,30</w:t>
      </w:r>
    </w:p>
    <w:p w14:paraId="7D24B9AD" w14:textId="77777777" w:rsidR="00620B48" w:rsidRDefault="00620B48" w:rsidP="00620B48">
      <w:pPr>
        <w:pStyle w:val="Paragrafoelenco"/>
        <w:spacing w:line="276" w:lineRule="auto"/>
        <w:ind w:left="1440"/>
        <w:rPr>
          <w:sz w:val="20"/>
          <w:szCs w:val="20"/>
        </w:rPr>
      </w:pPr>
      <w:r w:rsidRPr="001F5A7B">
        <w:rPr>
          <w:sz w:val="20"/>
          <w:szCs w:val="20"/>
        </w:rPr>
        <w:t>(“Intervento di criticità 2”)</w:t>
      </w:r>
      <w:r>
        <w:rPr>
          <w:sz w:val="20"/>
          <w:szCs w:val="20"/>
        </w:rPr>
        <w:t>.</w:t>
      </w:r>
    </w:p>
    <w:p w14:paraId="04F4268D" w14:textId="77777777" w:rsidR="00620B48" w:rsidRDefault="00620B48" w:rsidP="00620B48">
      <w:pPr>
        <w:spacing w:line="276" w:lineRule="auto"/>
        <w:ind w:left="720"/>
        <w:jc w:val="both"/>
        <w:rPr>
          <w:sz w:val="20"/>
          <w:szCs w:val="20"/>
        </w:rPr>
      </w:pPr>
      <w:r w:rsidRPr="001F5A7B">
        <w:rPr>
          <w:sz w:val="20"/>
          <w:szCs w:val="20"/>
        </w:rPr>
        <w:t xml:space="preserve">Per entrambi gli interventi i lavori sono stati consegnati alle ditte appaltatrici nel settembre 2022 e </w:t>
      </w:r>
      <w:r w:rsidRPr="003E3463">
        <w:rPr>
          <w:i/>
          <w:iCs/>
          <w:sz w:val="20"/>
          <w:szCs w:val="20"/>
          <w:u w:val="single"/>
        </w:rPr>
        <w:t>l’ultimazione è prevista entro dicembre 2023, in coerenza con quanto disciplinato nella misura di finanziamento.</w:t>
      </w:r>
    </w:p>
    <w:p w14:paraId="257796B6" w14:textId="77777777" w:rsidR="00620B48" w:rsidRPr="001F5A7B" w:rsidRDefault="00620B48" w:rsidP="00620B48">
      <w:pPr>
        <w:spacing w:line="276" w:lineRule="auto"/>
        <w:ind w:left="720"/>
        <w:jc w:val="both"/>
        <w:rPr>
          <w:sz w:val="20"/>
          <w:szCs w:val="20"/>
        </w:rPr>
      </w:pPr>
    </w:p>
    <w:p w14:paraId="77DD9363" w14:textId="77777777" w:rsidR="00620B48" w:rsidRPr="001F5A7B" w:rsidRDefault="00620B48" w:rsidP="00620B48">
      <w:pPr>
        <w:pStyle w:val="Paragrafoelenco"/>
        <w:numPr>
          <w:ilvl w:val="0"/>
          <w:numId w:val="7"/>
        </w:numPr>
        <w:suppressAutoHyphens/>
        <w:autoSpaceDN w:val="0"/>
        <w:spacing w:line="276" w:lineRule="auto"/>
        <w:jc w:val="both"/>
        <w:rPr>
          <w:sz w:val="20"/>
          <w:szCs w:val="20"/>
        </w:rPr>
      </w:pPr>
      <w:r w:rsidRPr="001F5A7B">
        <w:rPr>
          <w:sz w:val="20"/>
          <w:szCs w:val="20"/>
        </w:rPr>
        <w:t xml:space="preserve">Investimenti finanziati nell’Ambito della misura PIANO NAZIONALE DI RIPRESA E RESILIENZA </w:t>
      </w:r>
      <w:r w:rsidRPr="00357C07">
        <w:rPr>
          <w:b/>
          <w:bCs/>
          <w:i/>
          <w:iCs/>
          <w:sz w:val="20"/>
          <w:szCs w:val="20"/>
        </w:rPr>
        <w:t>(“PNRR”)</w:t>
      </w:r>
      <w:r w:rsidRPr="001F5A7B">
        <w:rPr>
          <w:sz w:val="20"/>
          <w:szCs w:val="20"/>
        </w:rPr>
        <w:t xml:space="preserve"> MISSIONE 2 - COMPONENTE 4 - INVESTIMENTO 4.2. Interventi finalizzati al controllo e alla riduzione delle perdite delle reti di distribuzione del Servizio Idrico Integrato dell'Ambito Distrettuale Sarnese-Vesuviano della Regione Campania «Riduzione delle perdite nelle reti di distribuzione dell’acqua, compresa la digitalizzazione e il monitoraggio delle reti»:</w:t>
      </w:r>
    </w:p>
    <w:p w14:paraId="0A6C43EA" w14:textId="77777777" w:rsidR="00620B48" w:rsidRPr="001F5A7B" w:rsidRDefault="00620B48" w:rsidP="00620B48">
      <w:pPr>
        <w:pStyle w:val="Paragrafoelenco"/>
        <w:numPr>
          <w:ilvl w:val="1"/>
          <w:numId w:val="7"/>
        </w:numPr>
        <w:suppressAutoHyphens/>
        <w:autoSpaceDN w:val="0"/>
        <w:spacing w:line="276" w:lineRule="auto"/>
        <w:jc w:val="both"/>
        <w:rPr>
          <w:sz w:val="20"/>
          <w:szCs w:val="20"/>
        </w:rPr>
      </w:pPr>
      <w:r w:rsidRPr="001F5A7B">
        <w:rPr>
          <w:b/>
          <w:bCs/>
          <w:sz w:val="20"/>
          <w:szCs w:val="20"/>
        </w:rPr>
        <w:t>Accordo quadro per gli interventi di criticità 3</w:t>
      </w:r>
      <w:r w:rsidRPr="001F5A7B">
        <w:rPr>
          <w:sz w:val="20"/>
          <w:szCs w:val="20"/>
        </w:rPr>
        <w:t xml:space="preserve"> nei comuni di: Lettere, Brusciano, Meta di Sorrento, Ottaviano, Piano di Sorrento, Pomigliano d'Arco, San Giorgio a Cremano, San Marzano sul Sarno, San Valentino Torio, Mercato San Severino, Saviano, Vico Equense, Castel San Giorgio, Castello di Cisterna - </w:t>
      </w:r>
      <w:r w:rsidRPr="001F5A7B">
        <w:rPr>
          <w:rFonts w:ascii="TT12362o00" w:hAnsi="TT12362o00" w:cs="TT12362o00"/>
          <w:sz w:val="20"/>
          <w:szCs w:val="20"/>
        </w:rPr>
        <w:t>importo complessivo di € 24.642.172,64</w:t>
      </w:r>
      <w:r w:rsidRPr="001F5A7B">
        <w:rPr>
          <w:sz w:val="20"/>
          <w:szCs w:val="20"/>
        </w:rPr>
        <w:t xml:space="preserve"> (“Intervento di criticità 3”);</w:t>
      </w:r>
    </w:p>
    <w:p w14:paraId="767620BA" w14:textId="77777777" w:rsidR="00620B48" w:rsidRPr="001F5A7B" w:rsidRDefault="00620B48" w:rsidP="00620B48">
      <w:pPr>
        <w:pStyle w:val="Paragrafoelenco"/>
        <w:numPr>
          <w:ilvl w:val="1"/>
          <w:numId w:val="7"/>
        </w:numPr>
        <w:suppressAutoHyphens/>
        <w:autoSpaceDN w:val="0"/>
        <w:spacing w:line="276" w:lineRule="auto"/>
        <w:jc w:val="both"/>
        <w:rPr>
          <w:sz w:val="20"/>
          <w:szCs w:val="20"/>
        </w:rPr>
      </w:pPr>
      <w:r w:rsidRPr="001F5A7B">
        <w:rPr>
          <w:b/>
          <w:bCs/>
          <w:sz w:val="20"/>
          <w:szCs w:val="20"/>
        </w:rPr>
        <w:t>Accordo quadro per gli interventi di criticità 4</w:t>
      </w:r>
      <w:r w:rsidRPr="001F5A7B">
        <w:rPr>
          <w:sz w:val="20"/>
          <w:szCs w:val="20"/>
        </w:rPr>
        <w:t xml:space="preserve"> – Ambito dell’intervento comuni di: Boscotrecase, Bracigliano, Camposano, Cercola, Cimitile, Comiziano, Pollena Trocchia, Palma Campania, Poggiomarino, Roccarainola, San Giuseppe Vesuviano, San Paolo Bel Sito, San Sebastiano al Vesuvio, San Vitaliano, Siano, Striano, Trecase, Sant'Agnello, Somma Vesuviana - </w:t>
      </w:r>
      <w:r w:rsidRPr="001F5A7B">
        <w:rPr>
          <w:rFonts w:ascii="TT12362o00" w:hAnsi="TT12362o00" w:cs="TT12362o00"/>
          <w:sz w:val="20"/>
          <w:szCs w:val="20"/>
        </w:rPr>
        <w:t>importo complessivo di € 23.347.638,21</w:t>
      </w:r>
      <w:r w:rsidRPr="001F5A7B">
        <w:rPr>
          <w:sz w:val="20"/>
          <w:szCs w:val="20"/>
        </w:rPr>
        <w:t xml:space="preserve"> (“Intervento di criticità 4”);</w:t>
      </w:r>
    </w:p>
    <w:p w14:paraId="2CD26CAB" w14:textId="77777777" w:rsidR="00620B48" w:rsidRPr="001F5A7B" w:rsidRDefault="00620B48" w:rsidP="00620B48">
      <w:pPr>
        <w:pStyle w:val="Paragrafoelenco"/>
        <w:numPr>
          <w:ilvl w:val="1"/>
          <w:numId w:val="7"/>
        </w:numPr>
        <w:suppressAutoHyphens/>
        <w:autoSpaceDN w:val="0"/>
        <w:spacing w:line="276" w:lineRule="auto"/>
        <w:jc w:val="both"/>
        <w:rPr>
          <w:sz w:val="20"/>
          <w:szCs w:val="20"/>
        </w:rPr>
      </w:pPr>
      <w:r w:rsidRPr="001F5A7B">
        <w:rPr>
          <w:b/>
          <w:bCs/>
          <w:sz w:val="20"/>
          <w:szCs w:val="20"/>
        </w:rPr>
        <w:t>Accordo quadro per gli interventi di criticità 5</w:t>
      </w:r>
      <w:r w:rsidRPr="001F5A7B">
        <w:rPr>
          <w:sz w:val="20"/>
          <w:szCs w:val="20"/>
        </w:rPr>
        <w:t xml:space="preserve"> – Ambito dell’intervento comuni di: Anacapri, Capri, Carbonara di Nola, Casamarciano, Casola di Napoli, Cicciano, Corbara, Liveri, Mariglianella, Massa di Somma, Pimonte, Tufino, San Gennaro Vesuviano, Santa Maria la Carità, Sant'Anastasia, Scisciano, Visciano, Terzigno, Volla - </w:t>
      </w:r>
      <w:r w:rsidRPr="001F5A7B">
        <w:rPr>
          <w:rFonts w:ascii="TT12362o00" w:hAnsi="TT12362o00" w:cs="TT12362o00"/>
          <w:sz w:val="20"/>
          <w:szCs w:val="20"/>
        </w:rPr>
        <w:t>importo complessivo di € 22.696.469,66</w:t>
      </w:r>
      <w:r w:rsidRPr="001F5A7B">
        <w:rPr>
          <w:sz w:val="20"/>
          <w:szCs w:val="20"/>
        </w:rPr>
        <w:t xml:space="preserve"> (“Intervento di criticità 5”);</w:t>
      </w:r>
    </w:p>
    <w:p w14:paraId="1F9FA195" w14:textId="77777777" w:rsidR="00620B48" w:rsidRPr="001F5A7B" w:rsidRDefault="00620B48" w:rsidP="00620B48">
      <w:pPr>
        <w:spacing w:line="276" w:lineRule="auto"/>
        <w:ind w:left="360"/>
        <w:jc w:val="both"/>
        <w:rPr>
          <w:sz w:val="20"/>
          <w:szCs w:val="20"/>
        </w:rPr>
      </w:pPr>
      <w:r w:rsidRPr="001F5A7B">
        <w:rPr>
          <w:sz w:val="20"/>
          <w:szCs w:val="20"/>
        </w:rPr>
        <w:t>Per tali interventi nel novembre 2022 è stata pubblicata la procedura ad evidenza pubblica per l’individuazione dell’appaltatore.</w:t>
      </w:r>
    </w:p>
    <w:p w14:paraId="4A069337" w14:textId="77777777" w:rsidR="00620B48" w:rsidRPr="001F5A7B" w:rsidRDefault="00620B48" w:rsidP="00620B48">
      <w:pPr>
        <w:pStyle w:val="Paragrafoelenco"/>
        <w:spacing w:line="276" w:lineRule="auto"/>
        <w:ind w:left="1440"/>
        <w:rPr>
          <w:sz w:val="20"/>
          <w:szCs w:val="20"/>
        </w:rPr>
      </w:pPr>
    </w:p>
    <w:p w14:paraId="794A86C2" w14:textId="77777777" w:rsidR="00620B48" w:rsidRPr="001F5A7B" w:rsidRDefault="00620B48" w:rsidP="00620B48">
      <w:pPr>
        <w:spacing w:line="276" w:lineRule="auto"/>
        <w:jc w:val="both"/>
        <w:rPr>
          <w:sz w:val="20"/>
          <w:szCs w:val="20"/>
        </w:rPr>
      </w:pPr>
      <w:r w:rsidRPr="001F5A7B">
        <w:rPr>
          <w:sz w:val="20"/>
          <w:szCs w:val="20"/>
        </w:rPr>
        <w:t xml:space="preserve">Di seguito si riporta il prospetto con evidenza delle </w:t>
      </w:r>
      <w:r>
        <w:rPr>
          <w:sz w:val="20"/>
          <w:szCs w:val="20"/>
        </w:rPr>
        <w:t>riduzioni</w:t>
      </w:r>
      <w:r w:rsidRPr="001F5A7B">
        <w:rPr>
          <w:sz w:val="20"/>
          <w:szCs w:val="20"/>
        </w:rPr>
        <w:t xml:space="preserve"> delle perdite</w:t>
      </w:r>
      <w:r>
        <w:rPr>
          <w:sz w:val="20"/>
          <w:szCs w:val="20"/>
        </w:rPr>
        <w:t xml:space="preserve"> di rete</w:t>
      </w:r>
      <w:r w:rsidRPr="001F5A7B">
        <w:rPr>
          <w:sz w:val="20"/>
          <w:szCs w:val="20"/>
        </w:rPr>
        <w:t>, in corrispondenza dell’attuazione di ogni singolo lotto di interventi:</w:t>
      </w:r>
    </w:p>
    <w:p w14:paraId="3B20C241" w14:textId="77777777" w:rsidR="00620B48" w:rsidRPr="003D2F29" w:rsidRDefault="00620B48" w:rsidP="00620B48">
      <w:pPr>
        <w:pStyle w:val="Paragrafoelenco"/>
        <w:spacing w:line="276" w:lineRule="auto"/>
        <w:ind w:left="1440"/>
      </w:pPr>
    </w:p>
    <w:p w14:paraId="72C9022A" w14:textId="77777777" w:rsidR="00620B48" w:rsidRDefault="00620B48" w:rsidP="00620B48">
      <w:pPr>
        <w:spacing w:line="276" w:lineRule="auto"/>
        <w:jc w:val="center"/>
      </w:pPr>
      <w:r w:rsidRPr="00914BA5">
        <w:rPr>
          <w:noProof/>
        </w:rPr>
        <w:lastRenderedPageBreak/>
        <w:drawing>
          <wp:inline distT="0" distB="0" distL="0" distR="0" wp14:anchorId="2A83F426" wp14:editId="233A15A5">
            <wp:extent cx="5455112" cy="2577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68366" cy="2583261"/>
                    </a:xfrm>
                    <a:prstGeom prst="rect">
                      <a:avLst/>
                    </a:prstGeom>
                  </pic:spPr>
                </pic:pic>
              </a:graphicData>
            </a:graphic>
          </wp:inline>
        </w:drawing>
      </w:r>
    </w:p>
    <w:p w14:paraId="2464FB32" w14:textId="77777777" w:rsidR="00620B48" w:rsidRDefault="00620B48" w:rsidP="00620B48">
      <w:pPr>
        <w:spacing w:line="276" w:lineRule="auto"/>
      </w:pPr>
    </w:p>
    <w:p w14:paraId="51058368" w14:textId="77777777" w:rsidR="00620B48" w:rsidRDefault="00620B48" w:rsidP="00620B48">
      <w:pPr>
        <w:spacing w:line="276" w:lineRule="auto"/>
      </w:pPr>
    </w:p>
    <w:p w14:paraId="5B8F093E" w14:textId="77777777" w:rsidR="00620B48" w:rsidRPr="001F5A7B" w:rsidRDefault="00620B48" w:rsidP="00620B48">
      <w:pPr>
        <w:pStyle w:val="Paragrafoelenco"/>
        <w:numPr>
          <w:ilvl w:val="0"/>
          <w:numId w:val="7"/>
        </w:numPr>
        <w:suppressAutoHyphens/>
        <w:autoSpaceDN w:val="0"/>
        <w:spacing w:line="276" w:lineRule="auto"/>
        <w:jc w:val="both"/>
        <w:rPr>
          <w:sz w:val="20"/>
          <w:szCs w:val="20"/>
        </w:rPr>
      </w:pPr>
      <w:r w:rsidRPr="001F5A7B">
        <w:rPr>
          <w:sz w:val="20"/>
          <w:szCs w:val="20"/>
        </w:rPr>
        <w:t>Interventi opere OO.RR. –DGRC 464/2022 – Idrico</w:t>
      </w:r>
    </w:p>
    <w:p w14:paraId="19626EE9" w14:textId="77777777" w:rsidR="00620B48" w:rsidRPr="001F5A7B" w:rsidRDefault="00620B48" w:rsidP="00620B48">
      <w:pPr>
        <w:spacing w:line="276" w:lineRule="auto"/>
        <w:jc w:val="both"/>
        <w:rPr>
          <w:sz w:val="20"/>
          <w:szCs w:val="20"/>
        </w:rPr>
      </w:pPr>
      <w:r w:rsidRPr="001F5A7B">
        <w:rPr>
          <w:sz w:val="20"/>
          <w:szCs w:val="20"/>
        </w:rPr>
        <w:t>Con il trasferimento delle Opere Regionali effettuato anche in esecuzione dell’Accordo Operativo stipulato in data 8 novembre 2018 tra Regione Campania, EIC e GORI sono stati definiti – nell’ambito degli appositi verbali di trasferimento – gli stati di consistenza delle singole infrastrutture idriche, fognarie e depurative mediante un’attività tecnica eseguita congiuntamente tra le parti citate. In particolare, gli stati di consistenza hanno evidenziato una serie di criticità sulle opere oggetto di trasferimento per le quali è stato dato atto dell’assoluta esigenza di eseguire i conseguenti interventi da parte della GORI. Pertanto, al fine di poter concorrere utilmente al loro finanziamento nell’ambito delle misure previste dal P.O.R. FESR 2014-2020, la GORI ha inviato proposte progettuali che prevedono la rimozione delle criticità rilevate al trasferimento delle opere regionali, consistenti nella riduzione delle perdite, efficientamento energetico ed adeguamento normativo degli impianti, relativamente alle reti della grande adduzione del servizio idrico integrato dell’Ambito Distrettuale Sarnese Vesuviano della Regione Campania e degli impianti di depurazione comprensoriali trasferiti.</w:t>
      </w:r>
    </w:p>
    <w:p w14:paraId="70459CE2" w14:textId="77777777" w:rsidR="00620B48" w:rsidRPr="001F5A7B" w:rsidRDefault="00620B48" w:rsidP="00620B48">
      <w:pPr>
        <w:spacing w:line="276" w:lineRule="auto"/>
        <w:jc w:val="both"/>
        <w:rPr>
          <w:sz w:val="20"/>
          <w:szCs w:val="20"/>
        </w:rPr>
      </w:pPr>
      <w:r w:rsidRPr="001F5A7B">
        <w:rPr>
          <w:sz w:val="20"/>
          <w:szCs w:val="20"/>
        </w:rPr>
        <w:t>La Regione Campania con Delibera di Giunta Regionale n. 464/2022 ha</w:t>
      </w:r>
      <w:r w:rsidRPr="001F5A7B">
        <w:rPr>
          <w:bCs/>
          <w:sz w:val="20"/>
          <w:szCs w:val="20"/>
        </w:rPr>
        <w:t xml:space="preserve"> ammesso a finanziamento i seguenti interventi nell’ambito delle infrastrutture idriche:</w:t>
      </w:r>
    </w:p>
    <w:tbl>
      <w:tblPr>
        <w:tblW w:w="88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266"/>
        <w:gridCol w:w="6789"/>
        <w:gridCol w:w="1833"/>
      </w:tblGrid>
      <w:tr w:rsidR="00620B48" w:rsidRPr="00227E93" w14:paraId="38E38D12" w14:textId="77777777" w:rsidTr="00AB188A">
        <w:trPr>
          <w:trHeight w:val="278"/>
        </w:trPr>
        <w:tc>
          <w:tcPr>
            <w:tcW w:w="259" w:type="dxa"/>
            <w:shd w:val="clear" w:color="auto" w:fill="002060"/>
            <w:vAlign w:val="center"/>
            <w:hideMark/>
          </w:tcPr>
          <w:p w14:paraId="39A08BCE"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ID</w:t>
            </w:r>
          </w:p>
        </w:tc>
        <w:tc>
          <w:tcPr>
            <w:tcW w:w="6795" w:type="dxa"/>
            <w:shd w:val="clear" w:color="auto" w:fill="002060"/>
            <w:vAlign w:val="center"/>
            <w:hideMark/>
          </w:tcPr>
          <w:p w14:paraId="5F20217F"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LINEA DI INTERVENTO</w:t>
            </w:r>
          </w:p>
        </w:tc>
        <w:tc>
          <w:tcPr>
            <w:tcW w:w="1834" w:type="dxa"/>
            <w:shd w:val="clear" w:color="auto" w:fill="002060"/>
            <w:vAlign w:val="center"/>
            <w:hideMark/>
          </w:tcPr>
          <w:p w14:paraId="6EB1DFCC"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TOTALE INVESTIMENTO</w:t>
            </w:r>
          </w:p>
        </w:tc>
      </w:tr>
      <w:tr w:rsidR="00620B48" w:rsidRPr="00357C07" w14:paraId="1F642AA0" w14:textId="77777777" w:rsidTr="00AB188A">
        <w:trPr>
          <w:trHeight w:val="278"/>
        </w:trPr>
        <w:tc>
          <w:tcPr>
            <w:tcW w:w="259" w:type="dxa"/>
            <w:shd w:val="clear" w:color="auto" w:fill="FFFFFF" w:themeFill="background1"/>
            <w:vAlign w:val="center"/>
            <w:hideMark/>
          </w:tcPr>
          <w:p w14:paraId="0CA7BE0A"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1</w:t>
            </w:r>
          </w:p>
        </w:tc>
        <w:tc>
          <w:tcPr>
            <w:tcW w:w="6795" w:type="dxa"/>
            <w:shd w:val="clear" w:color="auto" w:fill="FFFFFF" w:themeFill="background1"/>
            <w:vAlign w:val="center"/>
            <w:hideMark/>
          </w:tcPr>
          <w:p w14:paraId="1A323896"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RELINING TRATTO CRITICO DN 1300 SANTA MARIA LA FOCE - BOSCOTRECASE</w:t>
            </w:r>
          </w:p>
        </w:tc>
        <w:tc>
          <w:tcPr>
            <w:tcW w:w="1834" w:type="dxa"/>
            <w:shd w:val="clear" w:color="auto" w:fill="FFFFFF" w:themeFill="background1"/>
            <w:vAlign w:val="center"/>
            <w:hideMark/>
          </w:tcPr>
          <w:p w14:paraId="13B199C1"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2.500.000 €</w:t>
            </w:r>
          </w:p>
        </w:tc>
      </w:tr>
      <w:tr w:rsidR="00620B48" w:rsidRPr="00357C07" w14:paraId="271C1AE7" w14:textId="77777777" w:rsidTr="00AB188A">
        <w:trPr>
          <w:trHeight w:val="278"/>
        </w:trPr>
        <w:tc>
          <w:tcPr>
            <w:tcW w:w="259" w:type="dxa"/>
            <w:shd w:val="clear" w:color="auto" w:fill="FFFFFF" w:themeFill="background1"/>
            <w:vAlign w:val="center"/>
            <w:hideMark/>
          </w:tcPr>
          <w:p w14:paraId="60C407BA"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2</w:t>
            </w:r>
          </w:p>
        </w:tc>
        <w:tc>
          <w:tcPr>
            <w:tcW w:w="6795" w:type="dxa"/>
            <w:shd w:val="clear" w:color="auto" w:fill="FFFFFF" w:themeFill="background1"/>
            <w:vAlign w:val="center"/>
            <w:hideMark/>
          </w:tcPr>
          <w:p w14:paraId="5B694EF9"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SOSTITUZIONE DELL'ADDUTTORE LETTERE CASOLA DN 350 IN CEMENTO AMIANTO</w:t>
            </w:r>
          </w:p>
        </w:tc>
        <w:tc>
          <w:tcPr>
            <w:tcW w:w="1834" w:type="dxa"/>
            <w:shd w:val="clear" w:color="auto" w:fill="FFFFFF" w:themeFill="background1"/>
            <w:vAlign w:val="center"/>
            <w:hideMark/>
          </w:tcPr>
          <w:p w14:paraId="72078F94"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1.200.000 €</w:t>
            </w:r>
          </w:p>
        </w:tc>
      </w:tr>
      <w:tr w:rsidR="00620B48" w:rsidRPr="00357C07" w14:paraId="28493C6D" w14:textId="77777777" w:rsidTr="00AB188A">
        <w:trPr>
          <w:trHeight w:val="691"/>
        </w:trPr>
        <w:tc>
          <w:tcPr>
            <w:tcW w:w="259" w:type="dxa"/>
            <w:shd w:val="clear" w:color="auto" w:fill="FFFFFF" w:themeFill="background1"/>
            <w:vAlign w:val="center"/>
            <w:hideMark/>
          </w:tcPr>
          <w:p w14:paraId="7C40C663"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3</w:t>
            </w:r>
          </w:p>
        </w:tc>
        <w:tc>
          <w:tcPr>
            <w:tcW w:w="6795" w:type="dxa"/>
            <w:shd w:val="clear" w:color="auto" w:fill="FFFFFF" w:themeFill="background1"/>
            <w:vAlign w:val="center"/>
            <w:hideMark/>
          </w:tcPr>
          <w:p w14:paraId="5C07C630"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OPERE IDRAULICHE RETI DELLA GRANDE ADDUZIONE IDRICA AMBITO SARNESE VESUVIANO TRASFERITE AI SENSI DELLA EX DEL. 243/2016 FINALIZZATO ALLA RIDUZIONE DELLE PERDITE ED ALL'EFFICIENTAMENTO ENERGETICO - SISTEMA AUSINO</w:t>
            </w:r>
          </w:p>
        </w:tc>
        <w:tc>
          <w:tcPr>
            <w:tcW w:w="1834" w:type="dxa"/>
            <w:shd w:val="clear" w:color="auto" w:fill="FFFFFF" w:themeFill="background1"/>
            <w:vAlign w:val="center"/>
            <w:hideMark/>
          </w:tcPr>
          <w:p w14:paraId="314B13F4"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1.770.000 €</w:t>
            </w:r>
          </w:p>
        </w:tc>
      </w:tr>
      <w:tr w:rsidR="00620B48" w:rsidRPr="00357C07" w14:paraId="324BEA6E" w14:textId="77777777" w:rsidTr="00AB188A">
        <w:trPr>
          <w:trHeight w:val="665"/>
        </w:trPr>
        <w:tc>
          <w:tcPr>
            <w:tcW w:w="259" w:type="dxa"/>
            <w:shd w:val="clear" w:color="auto" w:fill="FFFFFF" w:themeFill="background1"/>
            <w:vAlign w:val="center"/>
            <w:hideMark/>
          </w:tcPr>
          <w:p w14:paraId="1C9FF1B3"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4</w:t>
            </w:r>
          </w:p>
        </w:tc>
        <w:tc>
          <w:tcPr>
            <w:tcW w:w="6795" w:type="dxa"/>
            <w:shd w:val="clear" w:color="auto" w:fill="FFFFFF" w:themeFill="background1"/>
            <w:vAlign w:val="center"/>
            <w:hideMark/>
          </w:tcPr>
          <w:p w14:paraId="3F081A2C"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OPERE IDRAULICHE RETI DELLA GRANDE ADDUZIONE IDRICA AMBITO SARNESE VESUVIANO TRASFERITE AI SENSI DELLA EX DEL. 243/2016 FINALIZZATO ALLA RIDUZIONE DELLE PERDITE ED ALL'EFFICIENTAMENTO ENERGETICO - SISTEMA MONTI LATTARI</w:t>
            </w:r>
          </w:p>
        </w:tc>
        <w:tc>
          <w:tcPr>
            <w:tcW w:w="1834" w:type="dxa"/>
            <w:shd w:val="clear" w:color="auto" w:fill="FFFFFF" w:themeFill="background1"/>
            <w:vAlign w:val="center"/>
            <w:hideMark/>
          </w:tcPr>
          <w:p w14:paraId="34E0E207"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2.660.000 €</w:t>
            </w:r>
          </w:p>
        </w:tc>
      </w:tr>
      <w:tr w:rsidR="00620B48" w:rsidRPr="00357C07" w14:paraId="1BB18DAB" w14:textId="77777777" w:rsidTr="00AB188A">
        <w:trPr>
          <w:trHeight w:val="691"/>
        </w:trPr>
        <w:tc>
          <w:tcPr>
            <w:tcW w:w="259" w:type="dxa"/>
            <w:shd w:val="clear" w:color="auto" w:fill="FFFFFF" w:themeFill="background1"/>
            <w:vAlign w:val="center"/>
            <w:hideMark/>
          </w:tcPr>
          <w:p w14:paraId="256D472B"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5</w:t>
            </w:r>
          </w:p>
        </w:tc>
        <w:tc>
          <w:tcPr>
            <w:tcW w:w="6795" w:type="dxa"/>
            <w:shd w:val="clear" w:color="auto" w:fill="FFFFFF" w:themeFill="background1"/>
            <w:vAlign w:val="center"/>
            <w:hideMark/>
          </w:tcPr>
          <w:p w14:paraId="6C5001DA"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OPERE IDRAULICHE RETI DELLA GRANDE ADDUZIONE IDRICA AMBITO SARNESE VESUVIANO TRASFERITE AI SENSI DELLA EX DEL. 243/2016 FINALIZZATO ALLA RIDUZIONE DELLE PERDITE ED ALL'EFFICIENTAMENTO ENERGETICO - SISTEMA VESUVIANO</w:t>
            </w:r>
          </w:p>
        </w:tc>
        <w:tc>
          <w:tcPr>
            <w:tcW w:w="1834" w:type="dxa"/>
            <w:shd w:val="clear" w:color="auto" w:fill="FFFFFF" w:themeFill="background1"/>
            <w:vAlign w:val="center"/>
            <w:hideMark/>
          </w:tcPr>
          <w:p w14:paraId="5464021A"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8.940.000 €</w:t>
            </w:r>
          </w:p>
        </w:tc>
      </w:tr>
      <w:tr w:rsidR="00620B48" w:rsidRPr="00357C07" w14:paraId="548986A9" w14:textId="77777777" w:rsidTr="00AB188A">
        <w:trPr>
          <w:trHeight w:val="691"/>
        </w:trPr>
        <w:tc>
          <w:tcPr>
            <w:tcW w:w="259" w:type="dxa"/>
            <w:shd w:val="clear" w:color="auto" w:fill="FFFFFF" w:themeFill="background1"/>
            <w:vAlign w:val="center"/>
            <w:hideMark/>
          </w:tcPr>
          <w:p w14:paraId="05949405"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6</w:t>
            </w:r>
          </w:p>
        </w:tc>
        <w:tc>
          <w:tcPr>
            <w:tcW w:w="6795" w:type="dxa"/>
            <w:shd w:val="clear" w:color="auto" w:fill="FFFFFF" w:themeFill="background1"/>
            <w:vAlign w:val="center"/>
            <w:hideMark/>
          </w:tcPr>
          <w:p w14:paraId="2FFF2E74"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FUNZIONALE E STATICO DELLE OPERE CIVILI DEGLI IMPIANTI DELLA GRANDE ADDUZIONE IDRICA AMBITO SARNESE VESUVIANO TRASFERITE AI SENSI DELLA EX DEL. 243/2016 - SISTEMA VESUVIANO E SISTEMA MONTI LATTARI</w:t>
            </w:r>
          </w:p>
        </w:tc>
        <w:tc>
          <w:tcPr>
            <w:tcW w:w="1834" w:type="dxa"/>
            <w:shd w:val="clear" w:color="auto" w:fill="FFFFFF" w:themeFill="background1"/>
            <w:vAlign w:val="center"/>
            <w:hideMark/>
          </w:tcPr>
          <w:p w14:paraId="6BA5D92D"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2.570.000 €</w:t>
            </w:r>
          </w:p>
        </w:tc>
      </w:tr>
      <w:tr w:rsidR="00620B48" w:rsidRPr="00357C07" w14:paraId="7E5F1C8B" w14:textId="77777777" w:rsidTr="00AB188A">
        <w:trPr>
          <w:trHeight w:val="547"/>
        </w:trPr>
        <w:tc>
          <w:tcPr>
            <w:tcW w:w="259" w:type="dxa"/>
            <w:shd w:val="clear" w:color="auto" w:fill="FFFFFF" w:themeFill="background1"/>
            <w:vAlign w:val="center"/>
            <w:hideMark/>
          </w:tcPr>
          <w:p w14:paraId="3AFFF037"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7</w:t>
            </w:r>
          </w:p>
        </w:tc>
        <w:tc>
          <w:tcPr>
            <w:tcW w:w="6795" w:type="dxa"/>
            <w:shd w:val="clear" w:color="auto" w:fill="FFFFFF" w:themeFill="background1"/>
            <w:vAlign w:val="center"/>
            <w:hideMark/>
          </w:tcPr>
          <w:p w14:paraId="07AF3A43"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FUNZIONALE E STATICO DELLE OPERE CIVILI DEGLI IMPIANTI DELLA GRANDE ADDUZIONE IDRICA AMBITO SARNESE VESUVIANO TRASFERITE AI SENSI DELLA EX DEL. 243/2016 - SISTEMA AUSINO</w:t>
            </w:r>
          </w:p>
        </w:tc>
        <w:tc>
          <w:tcPr>
            <w:tcW w:w="1834" w:type="dxa"/>
            <w:shd w:val="clear" w:color="auto" w:fill="FFFFFF" w:themeFill="background1"/>
            <w:vAlign w:val="center"/>
            <w:hideMark/>
          </w:tcPr>
          <w:p w14:paraId="685ACC5E"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2.220.000 €</w:t>
            </w:r>
          </w:p>
        </w:tc>
      </w:tr>
      <w:tr w:rsidR="00620B48" w:rsidRPr="00227E93" w14:paraId="670039AF" w14:textId="77777777" w:rsidTr="00AB188A">
        <w:trPr>
          <w:trHeight w:val="854"/>
        </w:trPr>
        <w:tc>
          <w:tcPr>
            <w:tcW w:w="259" w:type="dxa"/>
            <w:shd w:val="clear" w:color="auto" w:fill="FFFFFF" w:themeFill="background1"/>
            <w:vAlign w:val="center"/>
            <w:hideMark/>
          </w:tcPr>
          <w:p w14:paraId="21D6FE01"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lastRenderedPageBreak/>
              <w:t>8</w:t>
            </w:r>
          </w:p>
        </w:tc>
        <w:tc>
          <w:tcPr>
            <w:tcW w:w="6795" w:type="dxa"/>
            <w:shd w:val="clear" w:color="auto" w:fill="FFFFFF" w:themeFill="background1"/>
            <w:vAlign w:val="center"/>
            <w:hideMark/>
          </w:tcPr>
          <w:p w14:paraId="4FDB296E"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FUNZIONALE E NORMATIVO DELLE OPERE ELETTRICHE ED ELETTROMECCANICHE E DI TELECONTROLLO DEGLI IMPIANTI DELLA GRANDE ADDUZIONE IDRICA, DI COLLETTAMENTO FOGNARIO E DI DEPURAZIONE AMBITO SARNESE VESUVIANO TRASFERITE AI SENSI DELLA EX DEL. 243/2016 FINALIZZATI ALL’ EFFICIENTAMENTO ENERGETICO E SICUREZZA DELLE INFRASTRUTTURE</w:t>
            </w:r>
          </w:p>
        </w:tc>
        <w:tc>
          <w:tcPr>
            <w:tcW w:w="1834" w:type="dxa"/>
            <w:shd w:val="clear" w:color="auto" w:fill="auto"/>
            <w:vAlign w:val="center"/>
            <w:hideMark/>
          </w:tcPr>
          <w:p w14:paraId="25D13C3A"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15.920.000 €</w:t>
            </w:r>
          </w:p>
        </w:tc>
      </w:tr>
      <w:tr w:rsidR="00620B48" w:rsidRPr="00227E93" w14:paraId="6B2AE803" w14:textId="77777777" w:rsidTr="00AB188A">
        <w:trPr>
          <w:trHeight w:val="278"/>
        </w:trPr>
        <w:tc>
          <w:tcPr>
            <w:tcW w:w="259" w:type="dxa"/>
            <w:shd w:val="clear" w:color="auto" w:fill="D9D9D9" w:themeFill="background1" w:themeFillShade="D9"/>
            <w:vAlign w:val="center"/>
            <w:hideMark/>
          </w:tcPr>
          <w:p w14:paraId="0EB1ECC2"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 </w:t>
            </w:r>
          </w:p>
        </w:tc>
        <w:tc>
          <w:tcPr>
            <w:tcW w:w="6795" w:type="dxa"/>
            <w:shd w:val="clear" w:color="auto" w:fill="D9D9D9" w:themeFill="background1" w:themeFillShade="D9"/>
            <w:vAlign w:val="center"/>
            <w:hideMark/>
          </w:tcPr>
          <w:p w14:paraId="5AD47D75" w14:textId="77777777" w:rsidR="00620B48" w:rsidRPr="00227E93" w:rsidRDefault="00620B48" w:rsidP="00AB188A">
            <w:pPr>
              <w:spacing w:after="0" w:line="240" w:lineRule="auto"/>
              <w:jc w:val="right"/>
              <w:rPr>
                <w:rFonts w:eastAsia="Times New Roman" w:cs="Calibri"/>
                <w:b/>
                <w:bCs/>
                <w:sz w:val="14"/>
                <w:szCs w:val="14"/>
              </w:rPr>
            </w:pPr>
            <w:r w:rsidRPr="00227E93">
              <w:rPr>
                <w:rFonts w:eastAsia="Times New Roman" w:cs="Calibri"/>
                <w:b/>
                <w:bCs/>
                <w:sz w:val="14"/>
                <w:szCs w:val="14"/>
              </w:rPr>
              <w:t>TOTALE</w:t>
            </w:r>
          </w:p>
        </w:tc>
        <w:tc>
          <w:tcPr>
            <w:tcW w:w="1834" w:type="dxa"/>
            <w:shd w:val="clear" w:color="auto" w:fill="D9D9D9" w:themeFill="background1" w:themeFillShade="D9"/>
            <w:vAlign w:val="center"/>
            <w:hideMark/>
          </w:tcPr>
          <w:p w14:paraId="24DDC713" w14:textId="77777777" w:rsidR="00620B48" w:rsidRPr="00227E93" w:rsidRDefault="00620B48" w:rsidP="00AB188A">
            <w:pPr>
              <w:spacing w:after="0" w:line="240" w:lineRule="auto"/>
              <w:jc w:val="right"/>
              <w:rPr>
                <w:rFonts w:eastAsia="Times New Roman" w:cs="Calibri"/>
                <w:b/>
                <w:bCs/>
                <w:sz w:val="14"/>
                <w:szCs w:val="14"/>
              </w:rPr>
            </w:pPr>
            <w:r w:rsidRPr="00227E93">
              <w:rPr>
                <w:rFonts w:eastAsia="Times New Roman" w:cs="Calibri"/>
                <w:b/>
                <w:bCs/>
                <w:sz w:val="14"/>
                <w:szCs w:val="14"/>
              </w:rPr>
              <w:t>37.780.000 €</w:t>
            </w:r>
          </w:p>
        </w:tc>
      </w:tr>
    </w:tbl>
    <w:p w14:paraId="68139933" w14:textId="77777777" w:rsidR="00620B48" w:rsidRPr="00227E93" w:rsidRDefault="00620B48" w:rsidP="00620B48">
      <w:pPr>
        <w:spacing w:after="160" w:line="256" w:lineRule="auto"/>
      </w:pPr>
    </w:p>
    <w:p w14:paraId="52E918C3" w14:textId="77777777" w:rsidR="00620B48" w:rsidRPr="00227E93" w:rsidRDefault="00620B48" w:rsidP="00620B48">
      <w:pPr>
        <w:spacing w:line="276" w:lineRule="auto"/>
        <w:jc w:val="both"/>
        <w:rPr>
          <w:bCs/>
          <w:sz w:val="20"/>
          <w:szCs w:val="20"/>
        </w:rPr>
      </w:pPr>
      <w:r w:rsidRPr="00227E93">
        <w:rPr>
          <w:bCs/>
          <w:sz w:val="20"/>
          <w:szCs w:val="20"/>
        </w:rPr>
        <w:t>Nella stessa Delibera si identificano i seguenti interventi che sono programmati nell’ambito della misura POR FESR 2021/2027</w:t>
      </w:r>
    </w:p>
    <w:tbl>
      <w:tblPr>
        <w:tblW w:w="885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266"/>
        <w:gridCol w:w="6765"/>
        <w:gridCol w:w="1828"/>
      </w:tblGrid>
      <w:tr w:rsidR="00620B48" w:rsidRPr="00227E93" w14:paraId="5F648302" w14:textId="77777777" w:rsidTr="00AB188A">
        <w:trPr>
          <w:trHeight w:val="203"/>
        </w:trPr>
        <w:tc>
          <w:tcPr>
            <w:tcW w:w="253" w:type="dxa"/>
            <w:shd w:val="clear" w:color="auto" w:fill="002060"/>
            <w:vAlign w:val="center"/>
            <w:hideMark/>
          </w:tcPr>
          <w:p w14:paraId="5367C582"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ID</w:t>
            </w:r>
          </w:p>
        </w:tc>
        <w:tc>
          <w:tcPr>
            <w:tcW w:w="6776" w:type="dxa"/>
            <w:shd w:val="clear" w:color="auto" w:fill="002060"/>
            <w:vAlign w:val="center"/>
            <w:hideMark/>
          </w:tcPr>
          <w:p w14:paraId="4F10EFCE"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LINEA DI INTERVENTO</w:t>
            </w:r>
          </w:p>
        </w:tc>
        <w:tc>
          <w:tcPr>
            <w:tcW w:w="1830" w:type="dxa"/>
            <w:shd w:val="clear" w:color="auto" w:fill="002060"/>
            <w:vAlign w:val="center"/>
            <w:hideMark/>
          </w:tcPr>
          <w:p w14:paraId="57CC9B09" w14:textId="77777777" w:rsidR="00620B48" w:rsidRPr="00227E93" w:rsidRDefault="00620B48" w:rsidP="00AB188A">
            <w:pPr>
              <w:spacing w:after="0" w:line="240" w:lineRule="auto"/>
              <w:jc w:val="center"/>
              <w:rPr>
                <w:rFonts w:eastAsia="Times New Roman" w:cs="Calibri"/>
                <w:b/>
                <w:bCs/>
                <w:color w:val="FFFFFF" w:themeColor="background1"/>
                <w:sz w:val="14"/>
                <w:szCs w:val="14"/>
              </w:rPr>
            </w:pPr>
            <w:r w:rsidRPr="00227E93">
              <w:rPr>
                <w:rFonts w:eastAsia="Times New Roman" w:cs="Calibri"/>
                <w:b/>
                <w:bCs/>
                <w:color w:val="FFFFFF" w:themeColor="background1"/>
                <w:sz w:val="14"/>
                <w:szCs w:val="14"/>
              </w:rPr>
              <w:t>TOTALE INVESTIMENTO</w:t>
            </w:r>
          </w:p>
        </w:tc>
      </w:tr>
      <w:tr w:rsidR="00620B48" w:rsidRPr="00227E93" w14:paraId="32C5E3FC" w14:textId="77777777" w:rsidTr="00AB188A">
        <w:trPr>
          <w:trHeight w:val="203"/>
        </w:trPr>
        <w:tc>
          <w:tcPr>
            <w:tcW w:w="253" w:type="dxa"/>
            <w:shd w:val="clear" w:color="auto" w:fill="FFFFFF" w:themeFill="background1"/>
            <w:vAlign w:val="center"/>
            <w:hideMark/>
          </w:tcPr>
          <w:p w14:paraId="2E02BC4B"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1</w:t>
            </w:r>
          </w:p>
        </w:tc>
        <w:tc>
          <w:tcPr>
            <w:tcW w:w="6776" w:type="dxa"/>
            <w:shd w:val="clear" w:color="auto" w:fill="FFFFFF" w:themeFill="background1"/>
            <w:vAlign w:val="center"/>
            <w:hideMark/>
          </w:tcPr>
          <w:p w14:paraId="39FE578C"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RELINING TRATTO CRITICO DN 1300 SANTA MARIA LA FOCE - BOSCOTRECASE</w:t>
            </w:r>
          </w:p>
        </w:tc>
        <w:tc>
          <w:tcPr>
            <w:tcW w:w="1830" w:type="dxa"/>
            <w:shd w:val="clear" w:color="auto" w:fill="auto"/>
            <w:vAlign w:val="center"/>
            <w:hideMark/>
          </w:tcPr>
          <w:p w14:paraId="6D716894"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2.500.000 €</w:t>
            </w:r>
          </w:p>
        </w:tc>
      </w:tr>
      <w:tr w:rsidR="00620B48" w:rsidRPr="00227E93" w14:paraId="01710D8E" w14:textId="77777777" w:rsidTr="00AB188A">
        <w:trPr>
          <w:trHeight w:val="203"/>
        </w:trPr>
        <w:tc>
          <w:tcPr>
            <w:tcW w:w="253" w:type="dxa"/>
            <w:shd w:val="clear" w:color="auto" w:fill="FFFFFF" w:themeFill="background1"/>
            <w:vAlign w:val="center"/>
            <w:hideMark/>
          </w:tcPr>
          <w:p w14:paraId="6CC81BE0"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2</w:t>
            </w:r>
          </w:p>
        </w:tc>
        <w:tc>
          <w:tcPr>
            <w:tcW w:w="6776" w:type="dxa"/>
            <w:shd w:val="clear" w:color="auto" w:fill="FFFFFF" w:themeFill="background1"/>
            <w:vAlign w:val="center"/>
            <w:hideMark/>
          </w:tcPr>
          <w:p w14:paraId="53E25EB4"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SOSTITUZIONE DELL'ADDUTTORE LETTERE CASOLA DN 350 IN CEMENTO AMIANTO</w:t>
            </w:r>
          </w:p>
        </w:tc>
        <w:tc>
          <w:tcPr>
            <w:tcW w:w="1830" w:type="dxa"/>
            <w:shd w:val="clear" w:color="auto" w:fill="auto"/>
            <w:vAlign w:val="center"/>
            <w:hideMark/>
          </w:tcPr>
          <w:p w14:paraId="2E5802D2"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1.200.000 €</w:t>
            </w:r>
          </w:p>
        </w:tc>
      </w:tr>
      <w:tr w:rsidR="00620B48" w:rsidRPr="00227E93" w14:paraId="75C844DC" w14:textId="77777777" w:rsidTr="00AB188A">
        <w:trPr>
          <w:trHeight w:val="503"/>
        </w:trPr>
        <w:tc>
          <w:tcPr>
            <w:tcW w:w="253" w:type="dxa"/>
            <w:shd w:val="clear" w:color="auto" w:fill="FFFFFF" w:themeFill="background1"/>
            <w:vAlign w:val="center"/>
            <w:hideMark/>
          </w:tcPr>
          <w:p w14:paraId="6921BD33"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3</w:t>
            </w:r>
          </w:p>
        </w:tc>
        <w:tc>
          <w:tcPr>
            <w:tcW w:w="6776" w:type="dxa"/>
            <w:shd w:val="clear" w:color="auto" w:fill="FFFFFF" w:themeFill="background1"/>
            <w:vAlign w:val="center"/>
            <w:hideMark/>
          </w:tcPr>
          <w:p w14:paraId="4E644BB5"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OPERE IDRAULICHE RETI DELLA GRANDE ADDUZIONE IDRICA AMBITO SARNESE VESUVIANO TRASFERITE AI SENSI DELLA EX DEL. 243/2016 FINALIZZATO ALLA RIDUZIONE DELLE PERDITE ED ALL'EFFICIENTAMENTO ENERGETICO - SISTEMA AUSINO</w:t>
            </w:r>
          </w:p>
        </w:tc>
        <w:tc>
          <w:tcPr>
            <w:tcW w:w="1830" w:type="dxa"/>
            <w:shd w:val="clear" w:color="auto" w:fill="auto"/>
            <w:vAlign w:val="center"/>
            <w:hideMark/>
          </w:tcPr>
          <w:p w14:paraId="78B93F8F"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1.770.000 €</w:t>
            </w:r>
          </w:p>
        </w:tc>
      </w:tr>
      <w:tr w:rsidR="00620B48" w:rsidRPr="00227E93" w14:paraId="746E021D" w14:textId="77777777" w:rsidTr="00AB188A">
        <w:trPr>
          <w:trHeight w:val="668"/>
        </w:trPr>
        <w:tc>
          <w:tcPr>
            <w:tcW w:w="253" w:type="dxa"/>
            <w:shd w:val="clear" w:color="auto" w:fill="FFFFFF" w:themeFill="background1"/>
            <w:vAlign w:val="center"/>
            <w:hideMark/>
          </w:tcPr>
          <w:p w14:paraId="1F06AC20" w14:textId="77777777" w:rsidR="00620B48" w:rsidRPr="00227E93" w:rsidRDefault="00620B48" w:rsidP="00AB188A">
            <w:pPr>
              <w:spacing w:after="0" w:line="240" w:lineRule="auto"/>
              <w:jc w:val="center"/>
              <w:rPr>
                <w:rFonts w:eastAsia="Times New Roman" w:cs="Calibri"/>
                <w:sz w:val="14"/>
                <w:szCs w:val="14"/>
              </w:rPr>
            </w:pPr>
            <w:r w:rsidRPr="00227E93">
              <w:rPr>
                <w:rFonts w:eastAsia="Times New Roman" w:cs="Calibri"/>
                <w:sz w:val="14"/>
                <w:szCs w:val="14"/>
              </w:rPr>
              <w:t>4</w:t>
            </w:r>
          </w:p>
        </w:tc>
        <w:tc>
          <w:tcPr>
            <w:tcW w:w="6776" w:type="dxa"/>
            <w:shd w:val="clear" w:color="auto" w:fill="FFFFFF" w:themeFill="background1"/>
            <w:vAlign w:val="center"/>
            <w:hideMark/>
          </w:tcPr>
          <w:p w14:paraId="5E06195F"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ADEGUAMENTO OPERE IDRAULICHE RETI DELLA GRANDE ADDUZIONE IDRICA AMBITO SARNESE VESUVIANO TRASFERITE AI SENSI DELLA EX DEL. 243/2016 FINALIZZATO ALLA RIDUZIONE DELLE PERDITE ED ALL'EFFICIENTAMENTO ENERGETICO - SISTEMA MONTI LATTARI</w:t>
            </w:r>
          </w:p>
        </w:tc>
        <w:tc>
          <w:tcPr>
            <w:tcW w:w="1830" w:type="dxa"/>
            <w:shd w:val="clear" w:color="auto" w:fill="auto"/>
            <w:vAlign w:val="center"/>
            <w:hideMark/>
          </w:tcPr>
          <w:p w14:paraId="2B0831DF" w14:textId="77777777" w:rsidR="00620B48" w:rsidRPr="00227E93" w:rsidRDefault="00620B48" w:rsidP="00AB188A">
            <w:pPr>
              <w:spacing w:after="0" w:line="240" w:lineRule="auto"/>
              <w:jc w:val="right"/>
              <w:rPr>
                <w:rFonts w:eastAsia="Times New Roman" w:cs="Calibri"/>
                <w:sz w:val="14"/>
                <w:szCs w:val="14"/>
              </w:rPr>
            </w:pPr>
            <w:r w:rsidRPr="00227E93">
              <w:rPr>
                <w:rFonts w:eastAsia="Times New Roman" w:cs="Calibri"/>
                <w:sz w:val="14"/>
                <w:szCs w:val="14"/>
              </w:rPr>
              <w:t>2.660.000 €</w:t>
            </w:r>
          </w:p>
        </w:tc>
      </w:tr>
      <w:tr w:rsidR="00620B48" w:rsidRPr="00227E93" w14:paraId="1FAEEC30" w14:textId="77777777" w:rsidTr="00AB188A">
        <w:trPr>
          <w:trHeight w:val="203"/>
        </w:trPr>
        <w:tc>
          <w:tcPr>
            <w:tcW w:w="253" w:type="dxa"/>
            <w:shd w:val="clear" w:color="auto" w:fill="D9D9D9" w:themeFill="background1" w:themeFillShade="D9"/>
            <w:vAlign w:val="center"/>
            <w:hideMark/>
          </w:tcPr>
          <w:p w14:paraId="3B540507" w14:textId="77777777" w:rsidR="00620B48" w:rsidRPr="00227E93" w:rsidRDefault="00620B48" w:rsidP="00AB188A">
            <w:pPr>
              <w:spacing w:after="0" w:line="240" w:lineRule="auto"/>
              <w:rPr>
                <w:rFonts w:eastAsia="Times New Roman" w:cs="Calibri"/>
                <w:sz w:val="14"/>
                <w:szCs w:val="14"/>
              </w:rPr>
            </w:pPr>
            <w:r w:rsidRPr="00227E93">
              <w:rPr>
                <w:rFonts w:eastAsia="Times New Roman" w:cs="Calibri"/>
                <w:sz w:val="14"/>
                <w:szCs w:val="14"/>
              </w:rPr>
              <w:t> </w:t>
            </w:r>
          </w:p>
        </w:tc>
        <w:tc>
          <w:tcPr>
            <w:tcW w:w="6776" w:type="dxa"/>
            <w:shd w:val="clear" w:color="auto" w:fill="D9D9D9" w:themeFill="background1" w:themeFillShade="D9"/>
            <w:vAlign w:val="center"/>
            <w:hideMark/>
          </w:tcPr>
          <w:p w14:paraId="2151A600" w14:textId="77777777" w:rsidR="00620B48" w:rsidRPr="00227E93" w:rsidRDefault="00620B48" w:rsidP="00AB188A">
            <w:pPr>
              <w:spacing w:after="0" w:line="240" w:lineRule="auto"/>
              <w:jc w:val="right"/>
              <w:rPr>
                <w:rFonts w:eastAsia="Times New Roman" w:cs="Calibri"/>
                <w:b/>
                <w:bCs/>
                <w:sz w:val="14"/>
                <w:szCs w:val="14"/>
              </w:rPr>
            </w:pPr>
            <w:r w:rsidRPr="00227E93">
              <w:rPr>
                <w:rFonts w:eastAsia="Times New Roman" w:cs="Calibri"/>
                <w:b/>
                <w:bCs/>
                <w:sz w:val="14"/>
                <w:szCs w:val="14"/>
              </w:rPr>
              <w:t>TOTALE</w:t>
            </w:r>
          </w:p>
        </w:tc>
        <w:tc>
          <w:tcPr>
            <w:tcW w:w="1830" w:type="dxa"/>
            <w:shd w:val="clear" w:color="auto" w:fill="D9D9D9" w:themeFill="background1" w:themeFillShade="D9"/>
            <w:vAlign w:val="center"/>
            <w:hideMark/>
          </w:tcPr>
          <w:p w14:paraId="545A1A47" w14:textId="77777777" w:rsidR="00620B48" w:rsidRPr="00227E93" w:rsidRDefault="00620B48" w:rsidP="00AB188A">
            <w:pPr>
              <w:spacing w:after="0" w:line="240" w:lineRule="auto"/>
              <w:jc w:val="right"/>
              <w:rPr>
                <w:rFonts w:eastAsia="Times New Roman" w:cs="Calibri"/>
                <w:b/>
                <w:bCs/>
                <w:sz w:val="14"/>
                <w:szCs w:val="14"/>
              </w:rPr>
            </w:pPr>
            <w:r w:rsidRPr="00227E93">
              <w:rPr>
                <w:rFonts w:eastAsia="Times New Roman" w:cs="Calibri"/>
                <w:b/>
                <w:bCs/>
                <w:sz w:val="14"/>
                <w:szCs w:val="14"/>
              </w:rPr>
              <w:t>8.130.000 €</w:t>
            </w:r>
          </w:p>
        </w:tc>
      </w:tr>
    </w:tbl>
    <w:p w14:paraId="14A7B17A" w14:textId="77777777" w:rsidR="00620B48" w:rsidRDefault="00620B48" w:rsidP="00620B48">
      <w:pPr>
        <w:spacing w:after="160" w:line="256" w:lineRule="auto"/>
        <w:rPr>
          <w:bCs/>
        </w:rPr>
      </w:pPr>
    </w:p>
    <w:p w14:paraId="0050461A" w14:textId="77777777" w:rsidR="00620B48" w:rsidRDefault="00620B48" w:rsidP="00620B48"/>
    <w:p w14:paraId="229E1070" w14:textId="77777777" w:rsidR="00620B48" w:rsidRPr="0048757D" w:rsidRDefault="00620B48" w:rsidP="00620B48">
      <w:pPr>
        <w:spacing w:line="276" w:lineRule="auto"/>
        <w:jc w:val="both"/>
        <w:rPr>
          <w:rFonts w:cstheme="minorHAnsi"/>
          <w:b/>
          <w:bCs/>
          <w:color w:val="000000" w:themeColor="text1"/>
        </w:rPr>
      </w:pPr>
      <w:bookmarkStart w:id="5" w:name="_Toc127550978"/>
      <w:r w:rsidRPr="0048757D">
        <w:rPr>
          <w:rFonts w:cstheme="minorHAnsi"/>
          <w:b/>
          <w:bCs/>
          <w:color w:val="000000" w:themeColor="text1"/>
        </w:rPr>
        <w:t>Efficienza gestionale</w:t>
      </w:r>
      <w:bookmarkEnd w:id="5"/>
      <w:r w:rsidRPr="0048757D">
        <w:rPr>
          <w:rFonts w:cstheme="minorHAnsi"/>
          <w:b/>
          <w:bCs/>
          <w:color w:val="000000" w:themeColor="text1"/>
        </w:rPr>
        <w:t xml:space="preserve"> </w:t>
      </w:r>
    </w:p>
    <w:p w14:paraId="24E96CFC" w14:textId="77777777" w:rsidR="00620B48" w:rsidRPr="001B012E" w:rsidRDefault="00620B48" w:rsidP="00620B48">
      <w:pPr>
        <w:spacing w:line="276" w:lineRule="auto"/>
        <w:jc w:val="both"/>
        <w:rPr>
          <w:rFonts w:cstheme="minorHAnsi"/>
        </w:rPr>
      </w:pPr>
      <w:r w:rsidRPr="001B012E">
        <w:rPr>
          <w:rFonts w:cstheme="minorHAnsi"/>
        </w:rPr>
        <w:t>La linea strategica dell’efficienza gestionale ha lo scopo di attuare gli interventi finalizzati a garantire la qualità del servizio idrico, fognario e depurativo di GORI</w:t>
      </w:r>
      <w:r>
        <w:rPr>
          <w:rFonts w:cstheme="minorHAnsi"/>
        </w:rPr>
        <w:t>, con interventi di manutenzione straordinaria su tutti gli asset gestiti</w:t>
      </w:r>
      <w:r w:rsidRPr="001B012E">
        <w:rPr>
          <w:rFonts w:cstheme="minorHAnsi"/>
        </w:rPr>
        <w:t>.</w:t>
      </w:r>
    </w:p>
    <w:p w14:paraId="2A06CEAC" w14:textId="77777777" w:rsidR="00620B48" w:rsidRDefault="00620B48" w:rsidP="00620B48">
      <w:pPr>
        <w:autoSpaceDE w:val="0"/>
        <w:autoSpaceDN w:val="0"/>
        <w:adjustRightInd w:val="0"/>
        <w:spacing w:line="276" w:lineRule="auto"/>
        <w:jc w:val="both"/>
        <w:rPr>
          <w:rFonts w:cstheme="minorHAnsi"/>
        </w:rPr>
      </w:pPr>
      <w:r w:rsidRPr="00C76B43">
        <w:rPr>
          <w:rFonts w:cstheme="minorHAnsi"/>
        </w:rPr>
        <w:t>L’ammontare complessivo degli investimenti realizzati nei settori di acquedotto, fognatura</w:t>
      </w:r>
      <w:r>
        <w:rPr>
          <w:rFonts w:cstheme="minorHAnsi"/>
        </w:rPr>
        <w:t xml:space="preserve"> </w:t>
      </w:r>
      <w:r w:rsidRPr="00C76B43">
        <w:rPr>
          <w:rFonts w:cstheme="minorHAnsi"/>
        </w:rPr>
        <w:t xml:space="preserve">e depurazione, sono legati </w:t>
      </w:r>
      <w:r>
        <w:rPr>
          <w:rFonts w:cstheme="minorHAnsi"/>
        </w:rPr>
        <w:t xml:space="preserve">quindi </w:t>
      </w:r>
      <w:r w:rsidRPr="00C76B43">
        <w:rPr>
          <w:rFonts w:cstheme="minorHAnsi"/>
        </w:rPr>
        <w:t xml:space="preserve">alle manutenzioni straordinarie e </w:t>
      </w:r>
      <w:r>
        <w:rPr>
          <w:rFonts w:cstheme="minorHAnsi"/>
        </w:rPr>
        <w:t>all’</w:t>
      </w:r>
      <w:r w:rsidRPr="00C76B43">
        <w:rPr>
          <w:rFonts w:cstheme="minorHAnsi"/>
        </w:rPr>
        <w:t>ottimizzazione delle reti</w:t>
      </w:r>
      <w:r>
        <w:rPr>
          <w:rFonts w:cstheme="minorHAnsi"/>
        </w:rPr>
        <w:t xml:space="preserve"> e degli </w:t>
      </w:r>
      <w:r w:rsidRPr="00C76B43">
        <w:rPr>
          <w:rFonts w:cstheme="minorHAnsi"/>
        </w:rPr>
        <w:t>impianti, sostituzione contatori</w:t>
      </w:r>
      <w:r>
        <w:rPr>
          <w:rFonts w:cstheme="minorHAnsi"/>
        </w:rPr>
        <w:t xml:space="preserve">, </w:t>
      </w:r>
      <w:r w:rsidRPr="00C76B43">
        <w:rPr>
          <w:rFonts w:cstheme="minorHAnsi"/>
        </w:rPr>
        <w:t>realizzazione</w:t>
      </w:r>
      <w:r>
        <w:rPr>
          <w:rFonts w:cstheme="minorHAnsi"/>
        </w:rPr>
        <w:t xml:space="preserve"> </w:t>
      </w:r>
      <w:r w:rsidRPr="00C76B43">
        <w:rPr>
          <w:rFonts w:cstheme="minorHAnsi"/>
        </w:rPr>
        <w:t>nuove opere</w:t>
      </w:r>
      <w:r>
        <w:rPr>
          <w:rFonts w:cstheme="minorHAnsi"/>
        </w:rPr>
        <w:t>, sistemi di gestione volti a conseguire obiettivi di innovazione digitale e tecnologica</w:t>
      </w:r>
      <w:r w:rsidRPr="00C76B43">
        <w:rPr>
          <w:rFonts w:cstheme="minorHAnsi"/>
        </w:rPr>
        <w:t xml:space="preserve">. </w:t>
      </w:r>
    </w:p>
    <w:p w14:paraId="62336F21" w14:textId="77777777" w:rsidR="00620B48" w:rsidRDefault="00620B48" w:rsidP="00620B48">
      <w:pPr>
        <w:spacing w:line="276" w:lineRule="auto"/>
        <w:jc w:val="both"/>
        <w:rPr>
          <w:rFonts w:cstheme="minorHAnsi"/>
        </w:rPr>
      </w:pPr>
      <w:r w:rsidRPr="002869AF">
        <w:rPr>
          <w:rFonts w:cstheme="minorHAnsi"/>
        </w:rPr>
        <w:t xml:space="preserve">Gli interventi di manutenzione straordinaria delle reti, </w:t>
      </w:r>
      <w:r>
        <w:rPr>
          <w:rFonts w:cstheme="minorHAnsi"/>
        </w:rPr>
        <w:t xml:space="preserve">inoltre, </w:t>
      </w:r>
      <w:r w:rsidRPr="002869AF">
        <w:rPr>
          <w:rFonts w:cstheme="minorHAnsi"/>
        </w:rPr>
        <w:t>per lo più realizzati in seguito a guasti, le azioni volte all’individuazione e sostituzione dei tratti di rete critici e la gestione del regime pressorio nelle reti di distribuzione, hanno consentito di mantenere costante i tassi di guasto, nonostante il complessivo invecchiamento delle infrastrutture in gestione.</w:t>
      </w:r>
    </w:p>
    <w:p w14:paraId="6A3B2C3D" w14:textId="77777777" w:rsidR="00620B48" w:rsidRPr="004539FA" w:rsidRDefault="00620B48" w:rsidP="00620B48">
      <w:pPr>
        <w:spacing w:line="276" w:lineRule="auto"/>
        <w:jc w:val="both"/>
        <w:rPr>
          <w:rFonts w:cstheme="minorHAnsi"/>
        </w:rPr>
      </w:pPr>
      <w:r w:rsidRPr="004539FA">
        <w:rPr>
          <w:rFonts w:cstheme="minorHAnsi"/>
        </w:rPr>
        <w:t>Di seguito si espone la ripartizione degli investimenti realizzati per Efficienza gestionale, con copertura da tariffa:</w:t>
      </w:r>
    </w:p>
    <w:p w14:paraId="7B1D0589" w14:textId="77777777" w:rsidR="00620B48" w:rsidRDefault="00620B48" w:rsidP="00620B48">
      <w:pPr>
        <w:spacing w:line="276" w:lineRule="auto"/>
        <w:jc w:val="both"/>
        <w:rPr>
          <w:rFonts w:cstheme="minorHAnsi"/>
        </w:rPr>
      </w:pPr>
    </w:p>
    <w:p w14:paraId="236A4FC2" w14:textId="77777777" w:rsidR="00620B48" w:rsidRDefault="00620B48" w:rsidP="00620B48">
      <w:pPr>
        <w:jc w:val="both"/>
        <w:rPr>
          <w:rFonts w:cstheme="minorHAnsi"/>
        </w:rPr>
      </w:pPr>
      <w:r>
        <w:rPr>
          <w:rFonts w:ascii="Times New Roman" w:hAnsi="Times New Roman" w:cs="Times New Roman"/>
          <w:noProof/>
          <w:sz w:val="24"/>
          <w:szCs w:val="24"/>
        </w:rPr>
        <w:drawing>
          <wp:anchor distT="0" distB="0" distL="114300" distR="114300" simplePos="0" relativeHeight="251659264" behindDoc="0" locked="0" layoutInCell="1" allowOverlap="1" wp14:anchorId="065D2B7E" wp14:editId="3F5A3E5D">
            <wp:simplePos x="0" y="0"/>
            <wp:positionH relativeFrom="column">
              <wp:posOffset>0</wp:posOffset>
            </wp:positionH>
            <wp:positionV relativeFrom="paragraph">
              <wp:posOffset>-635</wp:posOffset>
            </wp:positionV>
            <wp:extent cx="6120765" cy="1813560"/>
            <wp:effectExtent l="0" t="0" r="0"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813560"/>
                    </a:xfrm>
                    <a:prstGeom prst="rect">
                      <a:avLst/>
                    </a:prstGeom>
                    <a:noFill/>
                  </pic:spPr>
                </pic:pic>
              </a:graphicData>
            </a:graphic>
            <wp14:sizeRelH relativeFrom="margin">
              <wp14:pctWidth>0</wp14:pctWidth>
            </wp14:sizeRelH>
            <wp14:sizeRelV relativeFrom="margin">
              <wp14:pctHeight>0</wp14:pctHeight>
            </wp14:sizeRelV>
          </wp:anchor>
        </w:drawing>
      </w:r>
    </w:p>
    <w:p w14:paraId="40828A09" w14:textId="77777777" w:rsidR="00620B48" w:rsidRDefault="00620B48" w:rsidP="00620B48">
      <w:pPr>
        <w:jc w:val="both"/>
        <w:rPr>
          <w:rFonts w:cstheme="minorHAnsi"/>
        </w:rPr>
      </w:pPr>
    </w:p>
    <w:p w14:paraId="6AF65CD3" w14:textId="77777777" w:rsidR="00620B48" w:rsidRDefault="00620B48" w:rsidP="00620B48">
      <w:pPr>
        <w:jc w:val="both"/>
        <w:rPr>
          <w:rFonts w:cstheme="minorHAnsi"/>
        </w:rPr>
      </w:pPr>
    </w:p>
    <w:p w14:paraId="0853F787" w14:textId="77777777" w:rsidR="00620B48" w:rsidRDefault="00620B48" w:rsidP="00620B48">
      <w:pPr>
        <w:jc w:val="both"/>
        <w:rPr>
          <w:rFonts w:cstheme="minorHAnsi"/>
        </w:rPr>
      </w:pPr>
    </w:p>
    <w:p w14:paraId="184BA6AD" w14:textId="77777777" w:rsidR="00620B48" w:rsidRDefault="00620B48" w:rsidP="00620B48">
      <w:pPr>
        <w:jc w:val="both"/>
        <w:rPr>
          <w:rFonts w:cstheme="minorHAnsi"/>
        </w:rPr>
      </w:pPr>
    </w:p>
    <w:p w14:paraId="2945E9E8" w14:textId="77777777" w:rsidR="00620B48" w:rsidRDefault="00620B48" w:rsidP="00620B48">
      <w:pPr>
        <w:jc w:val="both"/>
        <w:rPr>
          <w:rFonts w:cstheme="minorHAnsi"/>
        </w:rPr>
      </w:pPr>
    </w:p>
    <w:p w14:paraId="7A2B1F74" w14:textId="77777777" w:rsidR="00620B48" w:rsidRDefault="00620B48" w:rsidP="00620B48">
      <w:pPr>
        <w:jc w:val="both"/>
        <w:rPr>
          <w:rFonts w:cstheme="minorHAnsi"/>
        </w:rPr>
      </w:pPr>
    </w:p>
    <w:p w14:paraId="63628B7E" w14:textId="77777777" w:rsidR="00620B48" w:rsidRDefault="00620B48" w:rsidP="00620B48">
      <w:pPr>
        <w:jc w:val="both"/>
        <w:rPr>
          <w:rFonts w:cstheme="minorHAnsi"/>
        </w:rPr>
      </w:pPr>
    </w:p>
    <w:p w14:paraId="6129FC48" w14:textId="77777777" w:rsidR="00C0463C" w:rsidRDefault="00C0463C"/>
    <w:sectPr w:rsidR="00C046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12362o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AC1"/>
    <w:multiLevelType w:val="multilevel"/>
    <w:tmpl w:val="90185BC0"/>
    <w:styleLink w:val="LFO40"/>
    <w:lvl w:ilvl="0">
      <w:numFmt w:val="bullet"/>
      <w:pStyle w:val="elencov"/>
      <w:lvlText w:val=""/>
      <w:lvlJc w:val="left"/>
      <w:pPr>
        <w:ind w:left="3156" w:hanging="360"/>
      </w:pPr>
      <w:rPr>
        <w:rFonts w:ascii="Wingdings" w:hAnsi="Wingdings" w:hint="default"/>
      </w:rPr>
    </w:lvl>
    <w:lvl w:ilvl="1">
      <w:numFmt w:val="bullet"/>
      <w:lvlText w:val="o"/>
      <w:lvlJc w:val="left"/>
      <w:pPr>
        <w:ind w:left="3876" w:hanging="360"/>
      </w:pPr>
      <w:rPr>
        <w:rFonts w:ascii="Courier New" w:hAnsi="Courier New" w:hint="default"/>
      </w:rPr>
    </w:lvl>
    <w:lvl w:ilvl="2">
      <w:numFmt w:val="bullet"/>
      <w:lvlText w:val=""/>
      <w:lvlJc w:val="left"/>
      <w:pPr>
        <w:ind w:left="4596" w:hanging="360"/>
      </w:pPr>
      <w:rPr>
        <w:rFonts w:ascii="Wingdings" w:hAnsi="Wingdings" w:hint="default"/>
      </w:rPr>
    </w:lvl>
    <w:lvl w:ilvl="3">
      <w:numFmt w:val="bullet"/>
      <w:lvlText w:val=""/>
      <w:lvlJc w:val="left"/>
      <w:pPr>
        <w:ind w:left="5316" w:hanging="360"/>
      </w:pPr>
      <w:rPr>
        <w:rFonts w:ascii="Symbol" w:hAnsi="Symbol" w:hint="default"/>
      </w:rPr>
    </w:lvl>
    <w:lvl w:ilvl="4">
      <w:numFmt w:val="bullet"/>
      <w:lvlText w:val="o"/>
      <w:lvlJc w:val="left"/>
      <w:pPr>
        <w:ind w:left="6036" w:hanging="360"/>
      </w:pPr>
      <w:rPr>
        <w:rFonts w:ascii="Courier New" w:hAnsi="Courier New" w:hint="default"/>
      </w:rPr>
    </w:lvl>
    <w:lvl w:ilvl="5">
      <w:numFmt w:val="bullet"/>
      <w:lvlText w:val=""/>
      <w:lvlJc w:val="left"/>
      <w:pPr>
        <w:ind w:left="6756" w:hanging="360"/>
      </w:pPr>
      <w:rPr>
        <w:rFonts w:ascii="Wingdings" w:hAnsi="Wingdings" w:hint="default"/>
      </w:rPr>
    </w:lvl>
    <w:lvl w:ilvl="6">
      <w:numFmt w:val="bullet"/>
      <w:lvlText w:val=""/>
      <w:lvlJc w:val="left"/>
      <w:pPr>
        <w:ind w:left="7476" w:hanging="360"/>
      </w:pPr>
      <w:rPr>
        <w:rFonts w:ascii="Symbol" w:hAnsi="Symbol" w:hint="default"/>
      </w:rPr>
    </w:lvl>
    <w:lvl w:ilvl="7">
      <w:numFmt w:val="bullet"/>
      <w:lvlText w:val="o"/>
      <w:lvlJc w:val="left"/>
      <w:pPr>
        <w:ind w:left="8196" w:hanging="360"/>
      </w:pPr>
      <w:rPr>
        <w:rFonts w:ascii="Courier New" w:hAnsi="Courier New" w:hint="default"/>
      </w:rPr>
    </w:lvl>
    <w:lvl w:ilvl="8">
      <w:numFmt w:val="bullet"/>
      <w:lvlText w:val=""/>
      <w:lvlJc w:val="left"/>
      <w:pPr>
        <w:ind w:left="8916" w:hanging="360"/>
      </w:pPr>
      <w:rPr>
        <w:rFonts w:ascii="Wingdings" w:hAnsi="Wingdings" w:hint="default"/>
      </w:rPr>
    </w:lvl>
  </w:abstractNum>
  <w:abstractNum w:abstractNumId="1" w15:restartNumberingAfterBreak="0">
    <w:nsid w:val="25626B85"/>
    <w:multiLevelType w:val="hybridMultilevel"/>
    <w:tmpl w:val="14428D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318050"/>
    <w:multiLevelType w:val="hybridMultilevel"/>
    <w:tmpl w:val="D2DCF5C2"/>
    <w:lvl w:ilvl="0" w:tplc="B8866B8A">
      <w:start w:val="1"/>
      <w:numFmt w:val="bullet"/>
      <w:lvlText w:val=""/>
      <w:lvlJc w:val="left"/>
      <w:pPr>
        <w:ind w:left="720" w:hanging="360"/>
      </w:pPr>
      <w:rPr>
        <w:rFonts w:ascii="Symbol" w:hAnsi="Symbol" w:hint="default"/>
      </w:rPr>
    </w:lvl>
    <w:lvl w:ilvl="1" w:tplc="FC2A8B00">
      <w:start w:val="1"/>
      <w:numFmt w:val="bullet"/>
      <w:lvlText w:val="o"/>
      <w:lvlJc w:val="left"/>
      <w:pPr>
        <w:ind w:left="1440" w:hanging="360"/>
      </w:pPr>
      <w:rPr>
        <w:rFonts w:ascii="Courier New" w:hAnsi="Courier New" w:hint="default"/>
      </w:rPr>
    </w:lvl>
    <w:lvl w:ilvl="2" w:tplc="E1DEA31A">
      <w:start w:val="1"/>
      <w:numFmt w:val="bullet"/>
      <w:lvlText w:val=""/>
      <w:lvlJc w:val="left"/>
      <w:pPr>
        <w:ind w:left="2160" w:hanging="360"/>
      </w:pPr>
      <w:rPr>
        <w:rFonts w:ascii="Wingdings" w:hAnsi="Wingdings" w:hint="default"/>
      </w:rPr>
    </w:lvl>
    <w:lvl w:ilvl="3" w:tplc="9EDAB05E">
      <w:start w:val="1"/>
      <w:numFmt w:val="bullet"/>
      <w:lvlText w:val=""/>
      <w:lvlJc w:val="left"/>
      <w:pPr>
        <w:ind w:left="2880" w:hanging="360"/>
      </w:pPr>
      <w:rPr>
        <w:rFonts w:ascii="Symbol" w:hAnsi="Symbol" w:hint="default"/>
      </w:rPr>
    </w:lvl>
    <w:lvl w:ilvl="4" w:tplc="855A5E80">
      <w:start w:val="1"/>
      <w:numFmt w:val="bullet"/>
      <w:lvlText w:val="o"/>
      <w:lvlJc w:val="left"/>
      <w:pPr>
        <w:ind w:left="3600" w:hanging="360"/>
      </w:pPr>
      <w:rPr>
        <w:rFonts w:ascii="Courier New" w:hAnsi="Courier New" w:hint="default"/>
      </w:rPr>
    </w:lvl>
    <w:lvl w:ilvl="5" w:tplc="BF165848">
      <w:start w:val="1"/>
      <w:numFmt w:val="bullet"/>
      <w:lvlText w:val=""/>
      <w:lvlJc w:val="left"/>
      <w:pPr>
        <w:ind w:left="4320" w:hanging="360"/>
      </w:pPr>
      <w:rPr>
        <w:rFonts w:ascii="Wingdings" w:hAnsi="Wingdings" w:hint="default"/>
      </w:rPr>
    </w:lvl>
    <w:lvl w:ilvl="6" w:tplc="347CED22">
      <w:start w:val="1"/>
      <w:numFmt w:val="bullet"/>
      <w:lvlText w:val=""/>
      <w:lvlJc w:val="left"/>
      <w:pPr>
        <w:ind w:left="5040" w:hanging="360"/>
      </w:pPr>
      <w:rPr>
        <w:rFonts w:ascii="Symbol" w:hAnsi="Symbol" w:hint="default"/>
      </w:rPr>
    </w:lvl>
    <w:lvl w:ilvl="7" w:tplc="C8EA753E">
      <w:start w:val="1"/>
      <w:numFmt w:val="bullet"/>
      <w:lvlText w:val="o"/>
      <w:lvlJc w:val="left"/>
      <w:pPr>
        <w:ind w:left="5760" w:hanging="360"/>
      </w:pPr>
      <w:rPr>
        <w:rFonts w:ascii="Courier New" w:hAnsi="Courier New" w:hint="default"/>
      </w:rPr>
    </w:lvl>
    <w:lvl w:ilvl="8" w:tplc="65ACE702">
      <w:start w:val="1"/>
      <w:numFmt w:val="bullet"/>
      <w:lvlText w:val=""/>
      <w:lvlJc w:val="left"/>
      <w:pPr>
        <w:ind w:left="6480" w:hanging="360"/>
      </w:pPr>
      <w:rPr>
        <w:rFonts w:ascii="Wingdings" w:hAnsi="Wingdings" w:hint="default"/>
      </w:rPr>
    </w:lvl>
  </w:abstractNum>
  <w:abstractNum w:abstractNumId="3" w15:restartNumberingAfterBreak="0">
    <w:nsid w:val="27231982"/>
    <w:multiLevelType w:val="hybridMultilevel"/>
    <w:tmpl w:val="284EB3C8"/>
    <w:lvl w:ilvl="0" w:tplc="ECD8CD82">
      <w:start w:val="1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EF548C"/>
    <w:multiLevelType w:val="multilevel"/>
    <w:tmpl w:val="7F9AD088"/>
    <w:styleLink w:val="LFO39"/>
    <w:lvl w:ilvl="0">
      <w:numFmt w:val="bullet"/>
      <w:pStyle w:val="elencop"/>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F468B9"/>
    <w:multiLevelType w:val="multilevel"/>
    <w:tmpl w:val="8D94FD8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3483743"/>
    <w:multiLevelType w:val="multilevel"/>
    <w:tmpl w:val="9D6CC35E"/>
    <w:styleLink w:val="LFO43"/>
    <w:lvl w:ilvl="0">
      <w:numFmt w:val="bullet"/>
      <w:pStyle w:val="elencof"/>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50A2BB9"/>
    <w:multiLevelType w:val="hybridMultilevel"/>
    <w:tmpl w:val="EF763E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2B204B"/>
    <w:multiLevelType w:val="hybridMultilevel"/>
    <w:tmpl w:val="2700B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C6588D"/>
    <w:multiLevelType w:val="hybridMultilevel"/>
    <w:tmpl w:val="8EB08C88"/>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77844308">
    <w:abstractNumId w:val="4"/>
  </w:num>
  <w:num w:numId="2" w16cid:durableId="1834638344">
    <w:abstractNumId w:val="0"/>
    <w:lvlOverride w:ilvl="0">
      <w:lvl w:ilvl="0">
        <w:numFmt w:val="bullet"/>
        <w:pStyle w:val="elencov"/>
        <w:lvlText w:val=""/>
        <w:lvlJc w:val="left"/>
        <w:pPr>
          <w:ind w:left="3156" w:hanging="360"/>
        </w:pPr>
        <w:rPr>
          <w:rFonts w:ascii="Wingdings" w:hAnsi="Wingdings" w:hint="default"/>
        </w:rPr>
      </w:lvl>
    </w:lvlOverride>
  </w:num>
  <w:num w:numId="3" w16cid:durableId="1376395006">
    <w:abstractNumId w:val="2"/>
  </w:num>
  <w:num w:numId="4" w16cid:durableId="511263538">
    <w:abstractNumId w:val="0"/>
  </w:num>
  <w:num w:numId="5" w16cid:durableId="1219054925">
    <w:abstractNumId w:val="6"/>
  </w:num>
  <w:num w:numId="6" w16cid:durableId="1337197781">
    <w:abstractNumId w:val="5"/>
  </w:num>
  <w:num w:numId="7" w16cid:durableId="2145584547">
    <w:abstractNumId w:val="3"/>
  </w:num>
  <w:num w:numId="8" w16cid:durableId="1901405019">
    <w:abstractNumId w:val="9"/>
  </w:num>
  <w:num w:numId="9" w16cid:durableId="426773216">
    <w:abstractNumId w:val="1"/>
  </w:num>
  <w:num w:numId="10" w16cid:durableId="1663504620">
    <w:abstractNumId w:val="8"/>
  </w:num>
  <w:num w:numId="11" w16cid:durableId="185842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3C"/>
    <w:rsid w:val="0048757D"/>
    <w:rsid w:val="00620B48"/>
    <w:rsid w:val="00B43F12"/>
    <w:rsid w:val="00C04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0AAE"/>
  <w15:chartTrackingRefBased/>
  <w15:docId w15:val="{E416084A-ACA7-4D6B-84C2-C9268D8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B48"/>
    <w:pPr>
      <w:spacing w:after="120" w:line="264" w:lineRule="auto"/>
    </w:pPr>
    <w:rPr>
      <w:rFonts w:eastAsiaTheme="minorEastAsia"/>
      <w:kern w:val="0"/>
      <w:sz w:val="21"/>
      <w:szCs w:val="2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20B48"/>
    <w:pPr>
      <w:autoSpaceDE w:val="0"/>
      <w:autoSpaceDN w:val="0"/>
      <w:spacing w:after="120" w:line="264" w:lineRule="auto"/>
    </w:pPr>
    <w:rPr>
      <w:rFonts w:eastAsiaTheme="minorEastAsia"/>
      <w:kern w:val="0"/>
      <w:sz w:val="21"/>
      <w:szCs w:val="21"/>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List Bulletized,lp1,Paragrafo N.I.,Stile elenco,elenco puntato,Paragrafo elenco 2,List Paragraph1,List Paragraph-1,점모양,List Bulletized1,lp11,List Bulletized2,lp12,List Bulletized3,lp13,List Bulletized4,lp14,List Bulletized5,lp15,lp16"/>
    <w:basedOn w:val="Normale"/>
    <w:link w:val="ParagrafoelencoCarattere"/>
    <w:uiPriority w:val="34"/>
    <w:qFormat/>
    <w:rsid w:val="00620B48"/>
    <w:pPr>
      <w:ind w:left="720"/>
      <w:contextualSpacing/>
    </w:pPr>
  </w:style>
  <w:style w:type="character" w:customStyle="1" w:styleId="ParagrafoelencoCarattere">
    <w:name w:val="Paragrafo elenco Carattere"/>
    <w:aliases w:val="List Bulletized Carattere,lp1 Carattere,Paragrafo N.I. Carattere,Stile elenco Carattere,elenco puntato Carattere,Paragrafo elenco 2 Carattere,List Paragraph1 Carattere,List Paragraph-1 Carattere,점모양 Carattere,lp11 Carattere"/>
    <w:basedOn w:val="Carpredefinitoparagrafo"/>
    <w:link w:val="Paragrafoelenco"/>
    <w:uiPriority w:val="34"/>
    <w:qFormat/>
    <w:rsid w:val="00620B48"/>
    <w:rPr>
      <w:rFonts w:eastAsiaTheme="minorEastAsia"/>
      <w:kern w:val="0"/>
      <w:sz w:val="21"/>
      <w:szCs w:val="21"/>
      <w:lang w:eastAsia="it-IT"/>
      <w14:ligatures w14:val="none"/>
    </w:rPr>
  </w:style>
  <w:style w:type="paragraph" w:customStyle="1" w:styleId="elencop">
    <w:name w:val="elenco p"/>
    <w:basedOn w:val="Paragrafoelenco"/>
    <w:rsid w:val="00620B48"/>
    <w:pPr>
      <w:numPr>
        <w:numId w:val="1"/>
      </w:numPr>
      <w:tabs>
        <w:tab w:val="num" w:pos="360"/>
      </w:tabs>
      <w:suppressAutoHyphens/>
      <w:autoSpaceDN w:val="0"/>
      <w:ind w:firstLine="0"/>
      <w:jc w:val="both"/>
    </w:pPr>
    <w:rPr>
      <w:rFonts w:ascii="Calibri" w:eastAsia="Calibri" w:hAnsi="Calibri" w:cs="Times New Roman"/>
      <w:sz w:val="22"/>
      <w:szCs w:val="22"/>
    </w:rPr>
  </w:style>
  <w:style w:type="paragraph" w:customStyle="1" w:styleId="elencov">
    <w:name w:val="elenco v"/>
    <w:basedOn w:val="Paragrafoelenco"/>
    <w:rsid w:val="00620B48"/>
    <w:pPr>
      <w:numPr>
        <w:numId w:val="2"/>
      </w:numPr>
      <w:tabs>
        <w:tab w:val="num" w:pos="360"/>
      </w:tabs>
      <w:suppressAutoHyphens/>
      <w:autoSpaceDN w:val="0"/>
      <w:ind w:left="720" w:firstLine="0"/>
      <w:jc w:val="both"/>
    </w:pPr>
    <w:rPr>
      <w:rFonts w:ascii="Calibri" w:eastAsia="Calibri" w:hAnsi="Calibri" w:cs="Times New Roman"/>
      <w:sz w:val="22"/>
      <w:szCs w:val="22"/>
    </w:rPr>
  </w:style>
  <w:style w:type="paragraph" w:customStyle="1" w:styleId="sezione">
    <w:name w:val="sezione"/>
    <w:basedOn w:val="Normale"/>
    <w:rsid w:val="00620B48"/>
    <w:pPr>
      <w:suppressAutoHyphens/>
      <w:autoSpaceDN w:val="0"/>
      <w:spacing w:before="240" w:line="288" w:lineRule="auto"/>
      <w:jc w:val="both"/>
    </w:pPr>
    <w:rPr>
      <w:rFonts w:ascii="Calibri" w:eastAsia="Calibri" w:hAnsi="Calibri" w:cs="Times New Roman"/>
      <w:b/>
      <w:bCs/>
      <w:color w:val="4472C4"/>
      <w:sz w:val="24"/>
      <w:szCs w:val="24"/>
    </w:rPr>
  </w:style>
  <w:style w:type="numbering" w:customStyle="1" w:styleId="LFO39">
    <w:name w:val="LFO39"/>
    <w:basedOn w:val="Nessunelenco"/>
    <w:rsid w:val="00620B48"/>
    <w:pPr>
      <w:numPr>
        <w:numId w:val="1"/>
      </w:numPr>
    </w:pPr>
  </w:style>
  <w:style w:type="numbering" w:customStyle="1" w:styleId="LFO40">
    <w:name w:val="LFO40"/>
    <w:basedOn w:val="Nessunelenco"/>
    <w:rsid w:val="00620B48"/>
    <w:pPr>
      <w:numPr>
        <w:numId w:val="4"/>
      </w:numPr>
    </w:pPr>
  </w:style>
  <w:style w:type="paragraph" w:customStyle="1" w:styleId="elencof">
    <w:name w:val="elenco f"/>
    <w:basedOn w:val="Normale"/>
    <w:rsid w:val="00620B48"/>
    <w:pPr>
      <w:numPr>
        <w:numId w:val="5"/>
      </w:numPr>
      <w:suppressAutoHyphens/>
      <w:autoSpaceDN w:val="0"/>
      <w:spacing w:line="288" w:lineRule="auto"/>
      <w:jc w:val="both"/>
      <w:outlineLvl w:val="4"/>
    </w:pPr>
    <w:rPr>
      <w:rFonts w:ascii="Calibri" w:eastAsia="Times New Roman" w:hAnsi="Calibri" w:cs="Times New Roman"/>
      <w:smallCaps/>
    </w:rPr>
  </w:style>
  <w:style w:type="numbering" w:customStyle="1" w:styleId="LFO43">
    <w:name w:val="LFO43"/>
    <w:basedOn w:val="Nessunelenco"/>
    <w:rsid w:val="00620B4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3384</Words>
  <Characters>19289</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Principe</dc:creator>
  <cp:keywords/>
  <dc:description/>
  <cp:lastModifiedBy>Alfonso Principe</cp:lastModifiedBy>
  <cp:revision>3</cp:revision>
  <dcterms:created xsi:type="dcterms:W3CDTF">2023-04-26T13:18:00Z</dcterms:created>
  <dcterms:modified xsi:type="dcterms:W3CDTF">2023-04-26T13:46:00Z</dcterms:modified>
</cp:coreProperties>
</file>