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D068C" w14:textId="69142FC8" w:rsidR="007C024A" w:rsidRPr="007D537E" w:rsidRDefault="008C7FF0" w:rsidP="007D537E">
      <w:pPr>
        <w:tabs>
          <w:tab w:val="left" w:pos="938"/>
          <w:tab w:val="center" w:pos="5074"/>
        </w:tabs>
        <w:ind w:right="440"/>
        <w:jc w:val="center"/>
        <w:rPr>
          <w:rFonts w:ascii="Calibri" w:hAnsi="Calibri"/>
          <w:b/>
          <w:bCs/>
          <w:color w:val="auto"/>
          <w:sz w:val="36"/>
          <w:szCs w:val="36"/>
          <w:u w:color="404040"/>
        </w:rPr>
      </w:pPr>
      <w:r w:rsidRPr="00EF7D5A">
        <w:rPr>
          <w:rFonts w:ascii="Calibri" w:eastAsia="Calibri" w:hAnsi="Calibri" w:cs="Calibri"/>
          <w:b/>
          <w:bCs/>
          <w:noProof/>
          <w:color w:val="auto"/>
          <w:sz w:val="36"/>
          <w:szCs w:val="36"/>
          <w:u w:color="404040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CFC8C8F" wp14:editId="1FA90F43">
                <wp:simplePos x="0" y="0"/>
                <wp:positionH relativeFrom="column">
                  <wp:posOffset>156840</wp:posOffset>
                </wp:positionH>
                <wp:positionV relativeFrom="line">
                  <wp:posOffset>-137790</wp:posOffset>
                </wp:positionV>
                <wp:extent cx="368309" cy="9"/>
                <wp:effectExtent l="0" t="0" r="0" b="0"/>
                <wp:wrapNone/>
                <wp:docPr id="1073741828" name="officeArt object" descr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68309" cy="9"/>
                        </a:xfrm>
                        <a:prstGeom prst="line">
                          <a:avLst/>
                        </a:prstGeom>
                        <a:noFill/>
                        <a:ln w="28575" cap="flat">
                          <a:solidFill>
                            <a:srgbClr val="F78139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2A093AAA" id="officeArt object" o:spid="_x0000_s1026" alt="Connettore 1 1" style="position:absolute;flip:x y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" from="12.35pt,-10.85pt" to="41.35pt,-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" strokecolor="#f78139" strokeweight="2.25pt">
                <w10:wrap anchory="line"/>
              </v:line>
            </w:pict>
          </mc:Fallback>
        </mc:AlternateContent>
      </w:r>
      <w:r w:rsidRPr="00EF7D5A">
        <w:rPr>
          <w:rFonts w:ascii="Calibri" w:eastAsia="Calibri" w:hAnsi="Calibri" w:cs="Calibri"/>
          <w:b/>
          <w:bCs/>
          <w:noProof/>
          <w:color w:val="auto"/>
          <w:sz w:val="36"/>
          <w:szCs w:val="36"/>
          <w:u w:color="404040"/>
        </w:rPr>
        <w:drawing>
          <wp:anchor distT="152400" distB="152400" distL="152400" distR="152400" simplePos="0" relativeHeight="251660288" behindDoc="0" locked="0" layoutInCell="1" allowOverlap="1" wp14:anchorId="33BB317E" wp14:editId="2F66726F">
            <wp:simplePos x="0" y="0"/>
            <wp:positionH relativeFrom="page">
              <wp:posOffset>467991</wp:posOffset>
            </wp:positionH>
            <wp:positionV relativeFrom="page">
              <wp:posOffset>318038</wp:posOffset>
            </wp:positionV>
            <wp:extent cx="5353015" cy="1145954"/>
            <wp:effectExtent l="0" t="0" r="0" b="0"/>
            <wp:wrapTopAndBottom distT="152400" distB="152400"/>
            <wp:docPr id="1073741829" name="officeArt object" descr="Intestazione Carta Intestata-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ntestazione Carta Intestata-01.png" descr="Intestazione Carta Intestata-01.png"/>
                    <pic:cNvPicPr>
                      <a:picLocks noChangeAspect="1"/>
                    </pic:cNvPicPr>
                  </pic:nvPicPr>
                  <pic:blipFill>
                    <a:blip r:embed="rId7"/>
                    <a:srcRect r="14486"/>
                    <a:stretch>
                      <a:fillRect/>
                    </a:stretch>
                  </pic:blipFill>
                  <pic:spPr>
                    <a:xfrm>
                      <a:off x="0" y="0"/>
                      <a:ext cx="5353015" cy="114595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7C024A" w:rsidRPr="00202A15">
        <w:rPr>
          <w:rFonts w:ascii="Calibri" w:hAnsi="Calibri"/>
          <w:b/>
          <w:bCs/>
          <w:sz w:val="48"/>
          <w:szCs w:val="48"/>
          <w:lang w:eastAsia="it-IT"/>
          <w14:textOutline w14:w="0" w14:cap="rnd" w14:cmpd="sng" w14:algn="ctr">
            <w14:noFill/>
            <w14:prstDash w14:val="solid"/>
            <w14:bevel/>
          </w14:textOutline>
        </w:rPr>
        <w:t>COMUNICATO STAMPA</w:t>
      </w:r>
    </w:p>
    <w:p w14:paraId="3DF37349" w14:textId="52EC2282" w:rsidR="00202A15" w:rsidRDefault="00202A15" w:rsidP="007D537E">
      <w:pPr>
        <w:jc w:val="center"/>
        <w:rPr>
          <w:rFonts w:ascii="Calibri" w:hAnsi="Calibri"/>
          <w:b/>
          <w:bCs/>
          <w:sz w:val="56"/>
          <w:szCs w:val="56"/>
          <w:lang w:eastAsia="it-IT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ascii="Calibri" w:hAnsi="Calibri"/>
          <w:b/>
          <w:bCs/>
          <w:sz w:val="56"/>
          <w:szCs w:val="56"/>
          <w:lang w:eastAsia="it-IT"/>
          <w14:textOutline w14:w="0" w14:cap="rnd" w14:cmpd="sng" w14:algn="ctr">
            <w14:noFill/>
            <w14:prstDash w14:val="solid"/>
            <w14:bevel/>
          </w14:textOutline>
        </w:rPr>
        <w:t xml:space="preserve">AGGIORNAMENTO </w:t>
      </w:r>
      <w:r w:rsidR="007C024A" w:rsidRPr="007C024A">
        <w:rPr>
          <w:rFonts w:ascii="Calibri" w:hAnsi="Calibri"/>
          <w:b/>
          <w:bCs/>
          <w:sz w:val="56"/>
          <w:szCs w:val="56"/>
          <w:lang w:eastAsia="it-IT"/>
          <w14:textOutline w14:w="0" w14:cap="rnd" w14:cmpd="sng" w14:algn="ctr">
            <w14:noFill/>
            <w14:prstDash w14:val="solid"/>
            <w14:bevel/>
          </w14:textOutline>
        </w:rPr>
        <w:t xml:space="preserve">GUASTO </w:t>
      </w:r>
      <w:r>
        <w:rPr>
          <w:rFonts w:ascii="Calibri" w:hAnsi="Calibri"/>
          <w:b/>
          <w:bCs/>
          <w:sz w:val="56"/>
          <w:szCs w:val="56"/>
          <w:lang w:eastAsia="it-IT"/>
          <w14:textOutline w14:w="0" w14:cap="rnd" w14:cmpd="sng" w14:algn="ctr">
            <w14:noFill/>
            <w14:prstDash w14:val="solid"/>
            <w14:bevel/>
          </w14:textOutline>
        </w:rPr>
        <w:t>CONDOTTA</w:t>
      </w:r>
    </w:p>
    <w:p w14:paraId="1D3571A5" w14:textId="5F94D3FA" w:rsidR="00202A15" w:rsidRDefault="00202A15" w:rsidP="007D537E">
      <w:pPr>
        <w:jc w:val="center"/>
        <w:rPr>
          <w:rFonts w:ascii="Calibri" w:hAnsi="Calibri"/>
          <w:b/>
          <w:bCs/>
          <w:sz w:val="56"/>
          <w:szCs w:val="56"/>
          <w:lang w:eastAsia="it-IT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ascii="Calibri" w:hAnsi="Calibri"/>
          <w:b/>
          <w:bCs/>
          <w:sz w:val="56"/>
          <w:szCs w:val="56"/>
          <w:lang w:eastAsia="it-IT"/>
          <w14:textOutline w14:w="0" w14:cap="rnd" w14:cmpd="sng" w14:algn="ctr">
            <w14:noFill/>
            <w14:prstDash w14:val="solid"/>
            <w14:bevel/>
          </w14:textOutline>
        </w:rPr>
        <w:t>SARNO – BOSCOTRECASE DN 1300</w:t>
      </w:r>
    </w:p>
    <w:p w14:paraId="328FEE82" w14:textId="10036C43" w:rsidR="00202A15" w:rsidRDefault="00202A15" w:rsidP="00593A4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both"/>
        <w:rPr>
          <w:rFonts w:ascii="Calibri" w:eastAsia="Times New Roman" w:hAnsi="Calibri" w:cs="Calibri"/>
          <w:color w:val="auto"/>
          <w:bdr w:val="none" w:sz="0" w:space="0" w:color="auto"/>
          <w:lang w:eastAsia="it-IT"/>
          <w14:textOutline w14:w="0" w14:cap="rnd" w14:cmpd="sng" w14:algn="ctr">
            <w14:noFill/>
            <w14:prstDash w14:val="solid"/>
            <w14:bevel/>
          </w14:textOutline>
        </w:rPr>
      </w:pPr>
      <w:r w:rsidRPr="00202A15">
        <w:rPr>
          <w:rFonts w:ascii="Calibri" w:eastAsia="Times New Roman" w:hAnsi="Calibri" w:cs="Calibri"/>
          <w:color w:val="auto"/>
          <w:bdr w:val="none" w:sz="0" w:space="0" w:color="auto"/>
          <w:lang w:eastAsia="it-IT"/>
          <w14:textOutline w14:w="0" w14:cap="rnd" w14:cmpd="sng" w14:algn="ctr">
            <w14:noFill/>
            <w14:prstDash w14:val="solid"/>
            <w14:bevel/>
          </w14:textOutline>
        </w:rPr>
        <w:t>Prosegu</w:t>
      </w:r>
      <w:r>
        <w:rPr>
          <w:rFonts w:ascii="Calibri" w:eastAsia="Times New Roman" w:hAnsi="Calibri" w:cs="Calibri"/>
          <w:color w:val="auto"/>
          <w:bdr w:val="none" w:sz="0" w:space="0" w:color="auto"/>
          <w:lang w:eastAsia="it-IT"/>
          <w14:textOutline w14:w="0" w14:cap="rnd" w14:cmpd="sng" w14:algn="ctr">
            <w14:noFill/>
            <w14:prstDash w14:val="solid"/>
            <w14:bevel/>
          </w14:textOutline>
        </w:rPr>
        <w:t xml:space="preserve">ono senza sosta gli interventi per la </w:t>
      </w:r>
      <w:r w:rsidRPr="00202A15">
        <w:rPr>
          <w:rFonts w:ascii="Calibri" w:eastAsia="Times New Roman" w:hAnsi="Calibri" w:cs="Calibri"/>
          <w:color w:val="auto"/>
          <w:bdr w:val="none" w:sz="0" w:space="0" w:color="auto"/>
          <w:lang w:eastAsia="it-IT"/>
          <w14:textOutline w14:w="0" w14:cap="rnd" w14:cmpd="sng" w14:algn="ctr">
            <w14:noFill/>
            <w14:prstDash w14:val="solid"/>
            <w14:bevel/>
          </w14:textOutline>
        </w:rPr>
        <w:t xml:space="preserve">riparazione </w:t>
      </w:r>
      <w:r>
        <w:rPr>
          <w:rFonts w:ascii="Calibri" w:eastAsia="Times New Roman" w:hAnsi="Calibri" w:cs="Calibri"/>
          <w:color w:val="auto"/>
          <w:bdr w:val="none" w:sz="0" w:space="0" w:color="auto"/>
          <w:lang w:eastAsia="it-IT"/>
          <w14:textOutline w14:w="0" w14:cap="rnd" w14:cmpd="sng" w14:algn="ctr">
            <w14:noFill/>
            <w14:prstDash w14:val="solid"/>
            <w14:bevel/>
          </w14:textOutline>
        </w:rPr>
        <w:t>del guasto improvviso alla</w:t>
      </w:r>
      <w:r w:rsidRPr="00202A15">
        <w:rPr>
          <w:rFonts w:ascii="Calibri" w:eastAsia="Times New Roman" w:hAnsi="Calibri" w:cs="Calibri"/>
          <w:color w:val="auto"/>
          <w:bdr w:val="none" w:sz="0" w:space="0" w:color="auto"/>
          <w:lang w:eastAsia="it-IT"/>
          <w14:textOutline w14:w="0" w14:cap="rnd" w14:cmpd="sng" w14:algn="ctr">
            <w14:noFill/>
            <w14:prstDash w14:val="solid"/>
            <w14:bevel/>
          </w14:textOutline>
        </w:rPr>
        <w:t xml:space="preserve"> condotta adduttrice DN 1300 Sarno-Boscotrecase</w:t>
      </w:r>
      <w:r w:rsidR="00593A42">
        <w:rPr>
          <w:rFonts w:ascii="Calibri" w:eastAsia="Times New Roman" w:hAnsi="Calibri" w:cs="Calibri"/>
          <w:color w:val="auto"/>
          <w:bdr w:val="none" w:sz="0" w:space="0" w:color="auto"/>
          <w:lang w:eastAsia="it-IT"/>
          <w14:textOutline w14:w="0" w14:cap="rnd" w14:cmpd="sng" w14:algn="ctr">
            <w14:noFill/>
            <w14:prstDash w14:val="solid"/>
            <w14:bevel/>
          </w14:textOutline>
        </w:rPr>
        <w:t xml:space="preserve">, infrastruttura strategica </w:t>
      </w:r>
      <w:r w:rsidR="00593A42" w:rsidRPr="00593A42">
        <w:rPr>
          <w:rFonts w:ascii="Calibri" w:eastAsia="Times New Roman" w:hAnsi="Calibri" w:cs="Calibri"/>
          <w:color w:val="auto"/>
          <w:bdr w:val="none" w:sz="0" w:space="0" w:color="auto"/>
          <w:lang w:eastAsia="it-IT"/>
          <w14:textOutline w14:w="0" w14:cap="rnd" w14:cmpd="sng" w14:algn="ctr">
            <w14:noFill/>
            <w14:prstDash w14:val="solid"/>
            <w14:bevel/>
          </w14:textOutline>
        </w:rPr>
        <w:t>che alimenta il sistema idrico Sarnese-Vesuviano con una portata fino a 1.000 litri al secondo.</w:t>
      </w:r>
    </w:p>
    <w:p w14:paraId="3F8745CE" w14:textId="14897FAF" w:rsidR="00202A15" w:rsidRDefault="007D537E" w:rsidP="00202A1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both"/>
        <w:rPr>
          <w:rFonts w:ascii="Calibri" w:eastAsia="Times New Roman" w:hAnsi="Calibri" w:cs="Calibri"/>
          <w:color w:val="auto"/>
          <w:bdr w:val="none" w:sz="0" w:space="0" w:color="auto"/>
          <w:lang w:eastAsia="it-IT"/>
          <w14:textOutline w14:w="0" w14:cap="rnd" w14:cmpd="sng" w14:algn="ctr">
            <w14:noFill/>
            <w14:prstDash w14:val="solid"/>
            <w14:bevel/>
          </w14:textOutline>
        </w:rPr>
      </w:pPr>
      <w:r w:rsidRPr="007D537E">
        <w:rPr>
          <w:rFonts w:ascii="Calibri" w:eastAsia="Times New Roman" w:hAnsi="Calibri" w:cs="Calibri"/>
          <w:color w:val="auto"/>
          <w:bdr w:val="none" w:sz="0" w:space="0" w:color="auto"/>
          <w:lang w:eastAsia="it-IT"/>
          <w14:textOutline w14:w="0" w14:cap="rnd" w14:cmpd="sng" w14:algn="ctr">
            <w14:noFill/>
            <w14:prstDash w14:val="solid"/>
            <w14:bevel/>
          </w14:textOutline>
        </w:rPr>
        <w:t>I lavori di riparazione presentano un’elevata complessità tecnica e operativa</w:t>
      </w:r>
      <w:r w:rsidR="00202A15" w:rsidRPr="00202A15">
        <w:rPr>
          <w:rFonts w:ascii="Calibri" w:eastAsia="Times New Roman" w:hAnsi="Calibri" w:cs="Calibri"/>
          <w:color w:val="auto"/>
          <w:bdr w:val="none" w:sz="0" w:space="0" w:color="auto"/>
          <w:lang w:eastAsia="it-IT"/>
          <w14:textOutline w14:w="0" w14:cap="rnd" w14:cmpd="sng" w14:algn="ctr">
            <w14:noFill/>
            <w14:prstDash w14:val="solid"/>
            <w14:bevel/>
          </w14:textOutline>
        </w:rPr>
        <w:t xml:space="preserve">, poiché il guasto si è verificato in corrispondenza del punto di giunzione tra </w:t>
      </w:r>
      <w:r w:rsidR="00593A42">
        <w:rPr>
          <w:rFonts w:ascii="Calibri" w:eastAsia="Times New Roman" w:hAnsi="Calibri" w:cs="Calibri"/>
          <w:color w:val="auto"/>
          <w:bdr w:val="none" w:sz="0" w:space="0" w:color="auto"/>
          <w:lang w:eastAsia="it-IT"/>
          <w14:textOutline w14:w="0" w14:cap="rnd" w14:cmpd="sng" w14:algn="ctr">
            <w14:noFill/>
            <w14:prstDash w14:val="solid"/>
            <w14:bevel/>
          </w14:textOutline>
        </w:rPr>
        <w:t xml:space="preserve">due grosse </w:t>
      </w:r>
      <w:r w:rsidR="00202A15" w:rsidRPr="00202A15">
        <w:rPr>
          <w:rFonts w:ascii="Calibri" w:eastAsia="Times New Roman" w:hAnsi="Calibri" w:cs="Calibri"/>
          <w:color w:val="auto"/>
          <w:bdr w:val="none" w:sz="0" w:space="0" w:color="auto"/>
          <w:lang w:eastAsia="it-IT"/>
          <w14:textOutline w14:w="0" w14:cap="rnd" w14:cmpd="sng" w14:algn="ctr">
            <w14:noFill/>
            <w14:prstDash w14:val="solid"/>
            <w14:bevel/>
          </w14:textOutline>
        </w:rPr>
        <w:t>condotte di diverso diametro e materiale, rispettivamente in fibrocemento e acciaio. La specificità dell’intervento ha reso necessario l’impiego di personale specializzato e la realizzazione di componenti appositamente progettati</w:t>
      </w:r>
      <w:r w:rsidR="00593A42">
        <w:rPr>
          <w:rFonts w:ascii="Calibri" w:eastAsia="Times New Roman" w:hAnsi="Calibri" w:cs="Calibri"/>
          <w:color w:val="auto"/>
          <w:bdr w:val="none" w:sz="0" w:space="0" w:color="auto"/>
          <w:lang w:eastAsia="it-IT"/>
          <w14:textOutline w14:w="0" w14:cap="rnd" w14:cmpd="sng" w14:algn="ctr">
            <w14:noFill/>
            <w14:prstDash w14:val="solid"/>
            <w14:bevel/>
          </w14:textOutline>
        </w:rPr>
        <w:t xml:space="preserve">. Inoltre, </w:t>
      </w:r>
      <w:r w:rsidR="00593A42" w:rsidRPr="00202A15">
        <w:rPr>
          <w:rFonts w:ascii="Calibri" w:eastAsia="Times New Roman" w:hAnsi="Calibri" w:cs="Calibri"/>
          <w:color w:val="auto"/>
          <w:bdr w:val="none" w:sz="0" w:space="0" w:color="auto"/>
          <w:lang w:eastAsia="it-IT"/>
          <w14:textOutline w14:w="0" w14:cap="rnd" w14:cmpd="sng" w14:algn="ctr">
            <w14:noFill/>
            <w14:prstDash w14:val="solid"/>
            <w14:bevel/>
          </w14:textOutline>
        </w:rPr>
        <w:t>al fine di garantire lo svolgimento dei lavori in condizioni di massima sicurezza</w:t>
      </w:r>
      <w:r w:rsidR="00593A42">
        <w:rPr>
          <w:rFonts w:ascii="Calibri" w:eastAsia="Times New Roman" w:hAnsi="Calibri" w:cs="Calibri"/>
          <w:color w:val="auto"/>
          <w:bdr w:val="none" w:sz="0" w:space="0" w:color="auto"/>
          <w:lang w:eastAsia="it-IT"/>
          <w14:textOutline w14:w="0" w14:cap="rnd" w14:cmpd="sng" w14:algn="ctr">
            <w14:noFill/>
            <w14:prstDash w14:val="solid"/>
            <w14:bevel/>
          </w14:textOutline>
        </w:rPr>
        <w:t>, l</w:t>
      </w:r>
      <w:r w:rsidR="00202A15" w:rsidRPr="00202A15">
        <w:rPr>
          <w:rFonts w:ascii="Calibri" w:eastAsia="Times New Roman" w:hAnsi="Calibri" w:cs="Calibri"/>
          <w:color w:val="auto"/>
          <w:bdr w:val="none" w:sz="0" w:space="0" w:color="auto"/>
          <w:lang w:eastAsia="it-IT"/>
          <w14:textOutline w14:w="0" w14:cap="rnd" w14:cmpd="sng" w14:algn="ctr">
            <w14:noFill/>
            <w14:prstDash w14:val="solid"/>
            <w14:bevel/>
          </w14:textOutline>
        </w:rPr>
        <w:t xml:space="preserve">e attività vengono eseguite con particolare cautela, considerata </w:t>
      </w:r>
      <w:r w:rsidR="00593A42">
        <w:rPr>
          <w:rFonts w:ascii="Calibri" w:eastAsia="Times New Roman" w:hAnsi="Calibri" w:cs="Calibri"/>
          <w:color w:val="auto"/>
          <w:bdr w:val="none" w:sz="0" w:space="0" w:color="auto"/>
          <w:lang w:eastAsia="it-IT"/>
          <w14:textOutline w14:w="0" w14:cap="rnd" w14:cmpd="sng" w14:algn="ctr">
            <w14:noFill/>
            <w14:prstDash w14:val="solid"/>
            <w14:bevel/>
          </w14:textOutline>
        </w:rPr>
        <w:t xml:space="preserve">anche </w:t>
      </w:r>
      <w:r w:rsidR="00202A15" w:rsidRPr="00202A15">
        <w:rPr>
          <w:rFonts w:ascii="Calibri" w:eastAsia="Times New Roman" w:hAnsi="Calibri" w:cs="Calibri"/>
          <w:color w:val="auto"/>
          <w:bdr w:val="none" w:sz="0" w:space="0" w:color="auto"/>
          <w:lang w:eastAsia="it-IT"/>
          <w14:textOutline w14:w="0" w14:cap="rnd" w14:cmpd="sng" w14:algn="ctr">
            <w14:noFill/>
            <w14:prstDash w14:val="solid"/>
            <w14:bevel/>
          </w14:textOutline>
        </w:rPr>
        <w:t>la vicinanza ad alcuni insediamenti abitativi</w:t>
      </w:r>
      <w:r w:rsidR="00593A42">
        <w:rPr>
          <w:rFonts w:ascii="Calibri" w:eastAsia="Times New Roman" w:hAnsi="Calibri" w:cs="Calibri"/>
          <w:color w:val="auto"/>
          <w:bdr w:val="none" w:sz="0" w:space="0" w:color="auto"/>
          <w:lang w:eastAsia="it-IT"/>
          <w14:textOutline w14:w="0" w14:cap="rnd" w14:cmpd="sng" w14:algn="ctr">
            <w14:noFill/>
            <w14:prstDash w14:val="solid"/>
            <w14:bevel/>
          </w14:textOutline>
        </w:rPr>
        <w:t xml:space="preserve">. </w:t>
      </w:r>
    </w:p>
    <w:p w14:paraId="47651A18" w14:textId="6B2F55F0" w:rsidR="00593A42" w:rsidRPr="00593A42" w:rsidRDefault="00593A42" w:rsidP="00202A1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rPr>
          <w:rFonts w:ascii="Calibri" w:eastAsia="Times New Roman" w:hAnsi="Calibri" w:cs="Calibri"/>
          <w:b/>
          <w:bCs/>
          <w:color w:val="auto"/>
          <w:bdr w:val="none" w:sz="0" w:space="0" w:color="auto"/>
          <w:lang w:eastAsia="it-IT"/>
          <w14:textOutline w14:w="0" w14:cap="rnd" w14:cmpd="sng" w14:algn="ctr">
            <w14:noFill/>
            <w14:prstDash w14:val="solid"/>
            <w14:bevel/>
          </w14:textOutline>
        </w:rPr>
      </w:pPr>
      <w:r w:rsidRPr="00593A42">
        <w:rPr>
          <w:rFonts w:ascii="Calibri" w:eastAsia="Times New Roman" w:hAnsi="Calibri" w:cs="Calibri"/>
          <w:b/>
          <w:bCs/>
          <w:color w:val="auto"/>
          <w:bdr w:val="none" w:sz="0" w:space="0" w:color="auto"/>
          <w:lang w:eastAsia="it-IT"/>
          <w14:textOutline w14:w="0" w14:cap="rnd" w14:cmpd="sng" w14:algn="ctr">
            <w14:noFill/>
            <w14:prstDash w14:val="solid"/>
            <w14:bevel/>
          </w14:textOutline>
        </w:rPr>
        <w:t>Sulla base delle valutazioni tecniche attualmente disponibili</w:t>
      </w:r>
      <w:r w:rsidR="007D537E">
        <w:rPr>
          <w:rFonts w:ascii="Calibri" w:eastAsia="Times New Roman" w:hAnsi="Calibri" w:cs="Calibri"/>
          <w:b/>
          <w:bCs/>
          <w:color w:val="auto"/>
          <w:bdr w:val="none" w:sz="0" w:space="0" w:color="auto"/>
          <w:lang w:eastAsia="it-IT"/>
          <w14:textOutline w14:w="0" w14:cap="rnd" w14:cmpd="sng" w14:algn="ctr">
            <w14:noFill/>
            <w14:prstDash w14:val="solid"/>
            <w14:bevel/>
          </w14:textOutline>
        </w:rPr>
        <w:t xml:space="preserve">, </w:t>
      </w:r>
      <w:r w:rsidRPr="00593A42">
        <w:rPr>
          <w:rFonts w:ascii="Calibri" w:eastAsia="Times New Roman" w:hAnsi="Calibri" w:cs="Calibri"/>
          <w:b/>
          <w:bCs/>
          <w:color w:val="auto"/>
          <w:bdr w:val="none" w:sz="0" w:space="0" w:color="auto"/>
          <w:lang w:eastAsia="it-IT"/>
          <w14:textOutline w14:w="0" w14:cap="rnd" w14:cmpd="sng" w14:algn="ctr">
            <w14:noFill/>
            <w14:prstDash w14:val="solid"/>
            <w14:bevel/>
          </w14:textOutline>
        </w:rPr>
        <w:t>il termine dei lavori è previsto entro le ore 20:00 di questa sera, sabato 19 settembre</w:t>
      </w:r>
      <w:r>
        <w:rPr>
          <w:rFonts w:ascii="Calibri" w:eastAsia="Times New Roman" w:hAnsi="Calibri" w:cs="Calibri"/>
          <w:b/>
          <w:bCs/>
          <w:color w:val="auto"/>
          <w:bdr w:val="none" w:sz="0" w:space="0" w:color="auto"/>
          <w:lang w:eastAsia="it-IT"/>
          <w14:textOutline w14:w="0" w14:cap="rnd" w14:cmpd="sng" w14:algn="ctr">
            <w14:noFill/>
            <w14:prstDash w14:val="solid"/>
            <w14:bevel/>
          </w14:textOutline>
        </w:rPr>
        <w:t xml:space="preserve"> 2026. </w:t>
      </w:r>
    </w:p>
    <w:p w14:paraId="0E33630C" w14:textId="496E0A34" w:rsidR="00202A15" w:rsidRPr="00202A15" w:rsidRDefault="00202A15" w:rsidP="00202A1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rPr>
          <w:rFonts w:ascii="Calibri" w:eastAsia="Times New Roman" w:hAnsi="Calibri" w:cs="Calibri"/>
          <w:color w:val="auto"/>
          <w:bdr w:val="none" w:sz="0" w:space="0" w:color="auto"/>
          <w:lang w:eastAsia="it-IT"/>
          <w14:textOutline w14:w="0" w14:cap="rnd" w14:cmpd="sng" w14:algn="ctr">
            <w14:noFill/>
            <w14:prstDash w14:val="solid"/>
            <w14:bevel/>
          </w14:textOutline>
        </w:rPr>
      </w:pPr>
      <w:r w:rsidRPr="00202A15">
        <w:rPr>
          <w:rFonts w:ascii="Calibri" w:eastAsia="Times New Roman" w:hAnsi="Calibri" w:cs="Calibri"/>
          <w:color w:val="auto"/>
          <w:bdr w:val="none" w:sz="0" w:space="0" w:color="auto"/>
          <w:lang w:eastAsia="it-IT"/>
          <w14:textOutline w14:w="0" w14:cap="rnd" w14:cmpd="sng" w14:algn="ctr">
            <w14:noFill/>
            <w14:prstDash w14:val="solid"/>
            <w14:bevel/>
          </w14:textOutline>
        </w:rPr>
        <w:t xml:space="preserve">Mancanze d'acqua e abbassamenti di pressione interessano i comuni di Boscoreale, Ercolano, Ottaviano, Pompei, San Giuseppe Vesuviano, San Marzano sul Sarno, Scafati, Striano, Terzigno, Torre del Greco, Trecase, Torre Annunziata e Boscotrecase. </w:t>
      </w:r>
    </w:p>
    <w:p w14:paraId="649EB676" w14:textId="2EE43C90" w:rsidR="007D537E" w:rsidRDefault="00202A15" w:rsidP="00202A1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rPr>
          <w:rFonts w:ascii="Calibri" w:eastAsia="Times New Roman" w:hAnsi="Calibri" w:cs="Calibri"/>
          <w:color w:val="auto"/>
          <w:bdr w:val="none" w:sz="0" w:space="0" w:color="auto"/>
          <w:lang w:eastAsia="it-IT"/>
          <w14:textOutline w14:w="0" w14:cap="rnd" w14:cmpd="sng" w14:algn="ctr">
            <w14:noFill/>
            <w14:prstDash w14:val="solid"/>
            <w14:bevel/>
          </w14:textOutline>
        </w:rPr>
      </w:pPr>
      <w:r w:rsidRPr="00202A15">
        <w:rPr>
          <w:rFonts w:ascii="Calibri" w:eastAsia="Times New Roman" w:hAnsi="Calibri" w:cs="Calibri"/>
          <w:color w:val="auto"/>
          <w:bdr w:val="none" w:sz="0" w:space="0" w:color="auto"/>
          <w:lang w:eastAsia="it-IT"/>
          <w14:textOutline w14:w="0" w14:cap="rnd" w14:cmpd="sng" w14:algn="ctr">
            <w14:noFill/>
            <w14:prstDash w14:val="solid"/>
            <w14:bevel/>
          </w14:textOutline>
        </w:rPr>
        <w:t>Gori ha predisposto un servizio idrico sostitutivo con l'invio di autobotti e l'installazione di batterie di fontanine a servizio dei comuni di San Giuseppe Vesuviano, San Marzano sul Sarno, Striano, Terzigno</w:t>
      </w:r>
      <w:r w:rsidR="007D537E">
        <w:rPr>
          <w:rFonts w:ascii="Calibri" w:eastAsia="Times New Roman" w:hAnsi="Calibri" w:cs="Calibri"/>
          <w:color w:val="auto"/>
          <w:bdr w:val="none" w:sz="0" w:space="0" w:color="auto"/>
          <w:lang w:eastAsia="it-IT"/>
          <w14:textOutline w14:w="0" w14:cap="rnd" w14:cmpd="sng" w14:algn="ctr">
            <w14:noFill/>
            <w14:prstDash w14:val="solid"/>
            <w14:bevel/>
          </w14:textOutline>
        </w:rPr>
        <w:t xml:space="preserve">, </w:t>
      </w:r>
      <w:r w:rsidRPr="00202A15">
        <w:rPr>
          <w:rFonts w:ascii="Calibri" w:eastAsia="Times New Roman" w:hAnsi="Calibri" w:cs="Calibri"/>
          <w:color w:val="auto"/>
          <w:bdr w:val="none" w:sz="0" w:space="0" w:color="auto"/>
          <w:lang w:eastAsia="it-IT"/>
          <w14:textOutline w14:w="0" w14:cap="rnd" w14:cmpd="sng" w14:algn="ctr">
            <w14:noFill/>
            <w14:prstDash w14:val="solid"/>
            <w14:bevel/>
          </w14:textOutline>
        </w:rPr>
        <w:t>Torre del Greco</w:t>
      </w:r>
      <w:r w:rsidR="007D537E">
        <w:rPr>
          <w:rFonts w:ascii="Calibri" w:eastAsia="Times New Roman" w:hAnsi="Calibri" w:cs="Calibri"/>
          <w:color w:val="auto"/>
          <w:bdr w:val="none" w:sz="0" w:space="0" w:color="auto"/>
          <w:lang w:eastAsia="it-IT"/>
          <w14:textOutline w14:w="0" w14:cap="rnd" w14:cmpd="sng" w14:algn="ctr">
            <w14:noFill/>
            <w14:prstDash w14:val="solid"/>
            <w14:bevel/>
          </w14:textOutline>
        </w:rPr>
        <w:t xml:space="preserve">, Boscotrecase, Trecase e Ottaviano. </w:t>
      </w:r>
    </w:p>
    <w:p w14:paraId="241C3D4F" w14:textId="24FD0974" w:rsidR="007D537E" w:rsidRDefault="007D537E" w:rsidP="007D53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jc w:val="both"/>
        <w:rPr>
          <w:rFonts w:ascii="Calibri" w:eastAsia="Times New Roman" w:hAnsi="Calibri" w:cs="Calibri"/>
          <w:color w:val="auto"/>
          <w:bdr w:val="none" w:sz="0" w:space="0" w:color="auto"/>
          <w:lang w:eastAsia="it-IT"/>
          <w14:textOutline w14:w="0" w14:cap="rnd" w14:cmpd="sng" w14:algn="ctr">
            <w14:noFill/>
            <w14:prstDash w14:val="solid"/>
            <w14:bevel/>
          </w14:textOutline>
        </w:rPr>
      </w:pPr>
      <w:r w:rsidRPr="007D537E">
        <w:rPr>
          <w:rFonts w:ascii="Calibri" w:eastAsia="Times New Roman" w:hAnsi="Calibri" w:cs="Calibri"/>
          <w:color w:val="auto"/>
          <w:bdr w:val="none" w:sz="0" w:space="0" w:color="auto"/>
          <w:lang w:eastAsia="it-IT"/>
          <w14:textOutline w14:w="0" w14:cap="rnd" w14:cmpd="sng" w14:algn="ctr">
            <w14:noFill/>
            <w14:prstDash w14:val="solid"/>
            <w14:bevel/>
          </w14:textOutline>
        </w:rPr>
        <w:t xml:space="preserve">Tutte le informazioni e gli aggiornamenti puntuali sull’evoluzione dell’intervento sono disponibili nella pagina AVVISI ALL’UTENZA del sito goriacqua.com: </w:t>
      </w:r>
      <w:hyperlink r:id="rId8" w:history="1">
        <w:r w:rsidRPr="00F4793A">
          <w:rPr>
            <w:rStyle w:val="Collegamentoipertestuale"/>
            <w:rFonts w:ascii="Calibri" w:eastAsia="Times New Roman" w:hAnsi="Calibri" w:cs="Calibri"/>
            <w:bdr w:val="none" w:sz="0" w:space="0" w:color="auto"/>
            <w:lang w:eastAsia="it-IT"/>
            <w14:textOutline w14:w="0" w14:cap="rnd" w14:cmpd="sng" w14:algn="ctr">
              <w14:noFill/>
              <w14:prstDash w14:val="solid"/>
              <w14:bevel/>
            </w14:textOutline>
          </w:rPr>
          <w:t>www.goriacqua.com/page/avvisi-utenza</w:t>
        </w:r>
      </w:hyperlink>
      <w:r w:rsidRPr="007D537E">
        <w:rPr>
          <w:rFonts w:ascii="Calibri" w:eastAsia="Times New Roman" w:hAnsi="Calibri" w:cs="Calibri"/>
          <w:color w:val="auto"/>
          <w:bdr w:val="none" w:sz="0" w:space="0" w:color="auto"/>
          <w:lang w:eastAsia="it-IT"/>
          <w14:textOutline w14:w="0" w14:cap="rnd" w14:cmpd="sng" w14:algn="ctr">
            <w14:noFill/>
            <w14:prstDash w14:val="solid"/>
            <w14:bevel/>
          </w14:textOutline>
        </w:rPr>
        <w:t xml:space="preserve">. </w:t>
      </w:r>
    </w:p>
    <w:p w14:paraId="730E5373" w14:textId="77777777" w:rsidR="007D537E" w:rsidRDefault="007D537E" w:rsidP="007D53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jc w:val="both"/>
        <w:rPr>
          <w:rFonts w:ascii="Calibri" w:eastAsia="Times New Roman" w:hAnsi="Calibri" w:cs="Calibri"/>
          <w:color w:val="auto"/>
          <w:bdr w:val="none" w:sz="0" w:space="0" w:color="auto"/>
          <w:lang w:eastAsia="it-IT"/>
          <w14:textOutline w14:w="0" w14:cap="rnd" w14:cmpd="sng" w14:algn="ctr">
            <w14:noFill/>
            <w14:prstDash w14:val="solid"/>
            <w14:bevel/>
          </w14:textOutline>
        </w:rPr>
      </w:pPr>
    </w:p>
    <w:p w14:paraId="3F81CD7E" w14:textId="2F4DE8E3" w:rsidR="007D537E" w:rsidRDefault="007D537E" w:rsidP="007D53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jc w:val="both"/>
        <w:rPr>
          <w:rFonts w:ascii="Calibri" w:eastAsia="Times New Roman" w:hAnsi="Calibri" w:cs="Calibri"/>
          <w:color w:val="auto"/>
          <w:bdr w:val="none" w:sz="0" w:space="0" w:color="auto"/>
          <w:lang w:eastAsia="it-IT"/>
          <w14:textOutline w14:w="0" w14:cap="rnd" w14:cmpd="sng" w14:algn="ctr">
            <w14:noFill/>
            <w14:prstDash w14:val="solid"/>
            <w14:bevel/>
          </w14:textOutline>
        </w:rPr>
      </w:pPr>
      <w:r w:rsidRPr="007D537E">
        <w:rPr>
          <w:rFonts w:ascii="Calibri" w:eastAsia="Times New Roman" w:hAnsi="Calibri" w:cs="Calibri"/>
          <w:color w:val="auto"/>
          <w:bdr w:val="none" w:sz="0" w:space="0" w:color="auto"/>
          <w:lang w:eastAsia="it-IT"/>
          <w14:textOutline w14:w="0" w14:cap="rnd" w14:cmpd="sng" w14:algn="ctr">
            <w14:noFill/>
            <w14:prstDash w14:val="solid"/>
            <w14:bevel/>
          </w14:textOutline>
        </w:rPr>
        <w:t>Le comunicazioni vengono inoltre trasmesse via e-mail agli utenti registrati all’Area Clienti MyGori, per garantire un’informazione tempestiva e costante sull’andamento delle attività e sul progressivo ripristino del servizio.</w:t>
      </w:r>
      <w:r>
        <w:rPr>
          <w:rFonts w:ascii="Calibri" w:eastAsia="Times New Roman" w:hAnsi="Calibri" w:cs="Calibri"/>
          <w:color w:val="auto"/>
          <w:bdr w:val="none" w:sz="0" w:space="0" w:color="auto"/>
          <w:lang w:eastAsia="it-IT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Pr="007D537E">
        <w:rPr>
          <w:rFonts w:ascii="Calibri" w:eastAsia="Times New Roman" w:hAnsi="Calibri" w:cs="Calibri"/>
          <w:color w:val="auto"/>
          <w:bdr w:val="none" w:sz="0" w:space="0" w:color="auto"/>
          <w:lang w:eastAsia="it-IT"/>
          <w14:textOutline w14:w="0" w14:cap="rnd" w14:cmpd="sng" w14:algn="ctr">
            <w14:noFill/>
            <w14:prstDash w14:val="solid"/>
            <w14:bevel/>
          </w14:textOutline>
        </w:rPr>
        <w:t xml:space="preserve">Informazioni per l’utenza sono </w:t>
      </w:r>
      <w:r>
        <w:rPr>
          <w:rFonts w:ascii="Calibri" w:eastAsia="Times New Roman" w:hAnsi="Calibri" w:cs="Calibri"/>
          <w:color w:val="auto"/>
          <w:bdr w:val="none" w:sz="0" w:space="0" w:color="auto"/>
          <w:lang w:eastAsia="it-IT"/>
          <w14:textOutline w14:w="0" w14:cap="rnd" w14:cmpd="sng" w14:algn="ctr">
            <w14:noFill/>
            <w14:prstDash w14:val="solid"/>
            <w14:bevel/>
          </w14:textOutline>
        </w:rPr>
        <w:t>disponibili anche</w:t>
      </w:r>
      <w:r w:rsidRPr="007D537E">
        <w:rPr>
          <w:rFonts w:ascii="Calibri" w:eastAsia="Times New Roman" w:hAnsi="Calibri" w:cs="Calibri"/>
          <w:color w:val="auto"/>
          <w:bdr w:val="none" w:sz="0" w:space="0" w:color="auto"/>
          <w:lang w:eastAsia="it-IT"/>
          <w14:textOutline w14:w="0" w14:cap="rnd" w14:cmpd="sng" w14:algn="ctr">
            <w14:noFill/>
            <w14:prstDash w14:val="solid"/>
            <w14:bevel/>
          </w14:textOutline>
        </w:rPr>
        <w:t xml:space="preserve"> al numero verde gratuito 800 218 270 attivo h24.</w:t>
      </w:r>
    </w:p>
    <w:p w14:paraId="50F7EDF7" w14:textId="77777777" w:rsidR="007D537E" w:rsidRDefault="007D537E" w:rsidP="007D53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jc w:val="both"/>
        <w:rPr>
          <w:rFonts w:ascii="Calibri" w:eastAsia="Times New Roman" w:hAnsi="Calibri" w:cs="Calibri"/>
          <w:color w:val="auto"/>
          <w:bdr w:val="none" w:sz="0" w:space="0" w:color="auto"/>
          <w:lang w:eastAsia="it-IT"/>
          <w14:textOutline w14:w="0" w14:cap="rnd" w14:cmpd="sng" w14:algn="ctr">
            <w14:noFill/>
            <w14:prstDash w14:val="solid"/>
            <w14:bevel/>
          </w14:textOutline>
        </w:rPr>
      </w:pPr>
    </w:p>
    <w:p w14:paraId="7C16BA47" w14:textId="69B7CB33" w:rsidR="007C024A" w:rsidRPr="007D537E" w:rsidRDefault="007D537E" w:rsidP="007D53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jc w:val="both"/>
        <w:rPr>
          <w:rFonts w:ascii="Calibri" w:eastAsia="Times New Roman" w:hAnsi="Calibri" w:cs="Calibri"/>
          <w:color w:val="auto"/>
          <w:bdr w:val="none" w:sz="0" w:space="0" w:color="auto"/>
          <w:lang w:eastAsia="it-IT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ascii="Calibri" w:eastAsia="Times New Roman" w:hAnsi="Calibri" w:cs="Calibri"/>
          <w:color w:val="auto"/>
          <w:bdr w:val="none" w:sz="0" w:space="0" w:color="auto"/>
          <w:lang w:eastAsia="it-IT"/>
          <w14:textOutline w14:w="0" w14:cap="rnd" w14:cmpd="sng" w14:algn="ctr">
            <w14:noFill/>
            <w14:prstDash w14:val="solid"/>
            <w14:bevel/>
          </w14:textOutline>
        </w:rPr>
        <w:t xml:space="preserve">Gori assicura il massimo impegno nell’esecuzione di </w:t>
      </w:r>
      <w:r w:rsidR="007C024A" w:rsidRPr="007C024A">
        <w:rPr>
          <w:rFonts w:ascii="Calibri" w:eastAsia="Times New Roman" w:hAnsi="Calibri" w:cs="Calibri"/>
          <w:color w:val="auto"/>
          <w:bdr w:val="none" w:sz="0" w:space="0" w:color="auto"/>
          <w:lang w:eastAsia="it-IT"/>
          <w14:textOutline w14:w="0" w14:cap="rnd" w14:cmpd="sng" w14:algn="ctr">
            <w14:noFill/>
            <w14:prstDash w14:val="solid"/>
            <w14:bevel/>
          </w14:textOutline>
        </w:rPr>
        <w:t>tutte le operazioni necessarie per contenere la dispersione, salvaguardare l’integrità dell’acquedotto e ripristinare il servizio, limitando</w:t>
      </w:r>
      <w:r>
        <w:rPr>
          <w:rFonts w:ascii="Calibri" w:eastAsia="Times New Roman" w:hAnsi="Calibri" w:cs="Calibri"/>
          <w:color w:val="auto"/>
          <w:bdr w:val="none" w:sz="0" w:space="0" w:color="auto"/>
          <w:lang w:eastAsia="it-IT"/>
          <w14:textOutline w14:w="0" w14:cap="rnd" w14:cmpd="sng" w14:algn="ctr">
            <w14:noFill/>
            <w14:prstDash w14:val="solid"/>
            <w14:bevel/>
          </w14:textOutline>
        </w:rPr>
        <w:t xml:space="preserve"> al massimo</w:t>
      </w:r>
      <w:r w:rsidR="007C024A" w:rsidRPr="007C024A">
        <w:rPr>
          <w:rFonts w:ascii="Calibri" w:eastAsia="Times New Roman" w:hAnsi="Calibri" w:cs="Calibri"/>
          <w:color w:val="auto"/>
          <w:bdr w:val="none" w:sz="0" w:space="0" w:color="auto"/>
          <w:lang w:eastAsia="it-IT"/>
          <w14:textOutline w14:w="0" w14:cap="rnd" w14:cmpd="sng" w14:algn="ctr">
            <w14:noFill/>
            <w14:prstDash w14:val="solid"/>
            <w14:bevel/>
          </w14:textOutline>
        </w:rPr>
        <w:t xml:space="preserve"> i disagi alle</w:t>
      </w:r>
      <w:r>
        <w:rPr>
          <w:rFonts w:ascii="Calibri" w:eastAsia="Times New Roman" w:hAnsi="Calibri" w:cs="Calibri"/>
          <w:color w:val="auto"/>
          <w:bdr w:val="none" w:sz="0" w:space="0" w:color="auto"/>
          <w:lang w:eastAsia="it-IT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="007C024A" w:rsidRPr="007C024A">
        <w:rPr>
          <w:rFonts w:ascii="Calibri" w:eastAsia="Times New Roman" w:hAnsi="Calibri" w:cs="Calibri"/>
          <w:color w:val="auto"/>
          <w:bdr w:val="none" w:sz="0" w:space="0" w:color="auto"/>
          <w:lang w:eastAsia="it-IT"/>
          <w14:textOutline w14:w="0" w14:cap="rnd" w14:cmpd="sng" w14:algn="ctr">
            <w14:noFill/>
            <w14:prstDash w14:val="solid"/>
            <w14:bevel/>
          </w14:textOutline>
        </w:rPr>
        <w:t>utenze servite.</w:t>
      </w:r>
      <w:r>
        <w:rPr>
          <w:rFonts w:ascii="Calibri" w:eastAsia="Times New Roman" w:hAnsi="Calibri" w:cs="Calibri"/>
          <w:color w:val="auto"/>
          <w:bdr w:val="none" w:sz="0" w:space="0" w:color="auto"/>
          <w:lang w:eastAsia="it-IT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</w:p>
    <w:sectPr w:rsidR="007C024A" w:rsidRPr="007D537E">
      <w:headerReference w:type="default" r:id="rId9"/>
      <w:footerReference w:type="default" r:id="rId10"/>
      <w:footerReference w:type="first" r:id="rId11"/>
      <w:pgSz w:w="11900" w:h="16840"/>
      <w:pgMar w:top="2410" w:right="737" w:bottom="2126" w:left="737" w:header="0" w:footer="39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37E3A" w14:textId="77777777" w:rsidR="00A85A1E" w:rsidRDefault="00A85A1E">
      <w:r>
        <w:separator/>
      </w:r>
    </w:p>
  </w:endnote>
  <w:endnote w:type="continuationSeparator" w:id="0">
    <w:p w14:paraId="79805C85" w14:textId="77777777" w:rsidR="00A85A1E" w:rsidRDefault="00A85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0A558" w14:textId="77777777" w:rsidR="00850874" w:rsidRDefault="008C7FF0">
    <w:pPr>
      <w:pStyle w:val="Pidipagina"/>
      <w:tabs>
        <w:tab w:val="left" w:pos="142"/>
      </w:tabs>
      <w:jc w:val="center"/>
    </w:pPr>
    <w:r>
      <w:rPr>
        <w:noProof/>
      </w:rPr>
      <w:drawing>
        <wp:inline distT="0" distB="0" distL="0" distR="0" wp14:anchorId="09F96B7D" wp14:editId="409D4379">
          <wp:extent cx="6620510" cy="654686"/>
          <wp:effectExtent l="0" t="0" r="0" b="0"/>
          <wp:docPr id="1073741826" name="officeArt object" descr="FOOTER CARTA INTESTATA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FOOTER CARTA INTESTATA.jpg" descr="FOOTER CARTA INTESTATA.jpg"/>
                  <pic:cNvPicPr>
                    <a:picLocks noChangeAspect="1"/>
                  </pic:cNvPicPr>
                </pic:nvPicPr>
                <pic:blipFill>
                  <a:blip r:embed="rId1"/>
                  <a:srcRect t="3007" b="3007"/>
                  <a:stretch>
                    <a:fillRect/>
                  </a:stretch>
                </pic:blipFill>
                <pic:spPr>
                  <a:xfrm>
                    <a:off x="0" y="0"/>
                    <a:ext cx="6620510" cy="65468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FA5CF" w14:textId="77777777" w:rsidR="00850874" w:rsidRDefault="008C7FF0">
    <w:pPr>
      <w:pStyle w:val="IntestazioneepidipaginaA"/>
      <w:rPr>
        <w:rFonts w:hint="eastAsia"/>
      </w:rPr>
    </w:pPr>
    <w:r>
      <w:rPr>
        <w:noProof/>
      </w:rPr>
      <w:drawing>
        <wp:inline distT="0" distB="0" distL="0" distR="0" wp14:anchorId="6C32411C" wp14:editId="5EF8CC4D">
          <wp:extent cx="6620510" cy="654686"/>
          <wp:effectExtent l="0" t="0" r="0" b="0"/>
          <wp:docPr id="1073741827" name="officeArt object" descr="FOOTER CARTA INTESTATA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FOOTER CARTA INTESTATA.jpg" descr="FOOTER CARTA INTESTATA.jpg"/>
                  <pic:cNvPicPr>
                    <a:picLocks noChangeAspect="1"/>
                  </pic:cNvPicPr>
                </pic:nvPicPr>
                <pic:blipFill>
                  <a:blip r:embed="rId1"/>
                  <a:srcRect t="3007" b="3007"/>
                  <a:stretch>
                    <a:fillRect/>
                  </a:stretch>
                </pic:blipFill>
                <pic:spPr>
                  <a:xfrm>
                    <a:off x="0" y="0"/>
                    <a:ext cx="6620510" cy="65468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D0205" w14:textId="77777777" w:rsidR="00A85A1E" w:rsidRDefault="00A85A1E">
      <w:r>
        <w:separator/>
      </w:r>
    </w:p>
  </w:footnote>
  <w:footnote w:type="continuationSeparator" w:id="0">
    <w:p w14:paraId="4059A418" w14:textId="77777777" w:rsidR="00A85A1E" w:rsidRDefault="00A85A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E6903" w14:textId="77777777" w:rsidR="00850874" w:rsidRDefault="00850874">
    <w:pPr>
      <w:pStyle w:val="Intestazione"/>
    </w:pPr>
  </w:p>
  <w:p w14:paraId="31DF6112" w14:textId="77777777" w:rsidR="00850874" w:rsidRDefault="008C7FF0">
    <w:pPr>
      <w:pStyle w:val="Intestazione"/>
    </w:pPr>
    <w:r>
      <w:rPr>
        <w:noProof/>
      </w:rPr>
      <w:drawing>
        <wp:inline distT="0" distB="0" distL="0" distR="0" wp14:anchorId="08B5DF21" wp14:editId="443D97E8">
          <wp:extent cx="5353015" cy="1145954"/>
          <wp:effectExtent l="0" t="0" r="0" b="0"/>
          <wp:docPr id="1073741825" name="officeArt object" descr="Intestazione Carta Intestata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ntestazione Carta Intestata-01.png" descr="Intestazione Carta Intestata-01.png"/>
                  <pic:cNvPicPr>
                    <a:picLocks noChangeAspect="1"/>
                  </pic:cNvPicPr>
                </pic:nvPicPr>
                <pic:blipFill>
                  <a:blip r:embed="rId1"/>
                  <a:srcRect r="14486"/>
                  <a:stretch>
                    <a:fillRect/>
                  </a:stretch>
                </pic:blipFill>
                <pic:spPr>
                  <a:xfrm>
                    <a:off x="0" y="0"/>
                    <a:ext cx="5353015" cy="1145954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309AA"/>
    <w:multiLevelType w:val="hybridMultilevel"/>
    <w:tmpl w:val="8370FFB2"/>
    <w:lvl w:ilvl="0" w:tplc="CC1E32A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3364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874"/>
    <w:rsid w:val="00013D7D"/>
    <w:rsid w:val="00021AE0"/>
    <w:rsid w:val="000312F9"/>
    <w:rsid w:val="00043638"/>
    <w:rsid w:val="00046423"/>
    <w:rsid w:val="00053008"/>
    <w:rsid w:val="00067F4D"/>
    <w:rsid w:val="00075995"/>
    <w:rsid w:val="0008335F"/>
    <w:rsid w:val="00092BA0"/>
    <w:rsid w:val="00094535"/>
    <w:rsid w:val="00096928"/>
    <w:rsid w:val="00097398"/>
    <w:rsid w:val="000B6C40"/>
    <w:rsid w:val="000C0CD6"/>
    <w:rsid w:val="000E2AC3"/>
    <w:rsid w:val="000E2F65"/>
    <w:rsid w:val="000F02A3"/>
    <w:rsid w:val="001041B5"/>
    <w:rsid w:val="00106E20"/>
    <w:rsid w:val="00114A7C"/>
    <w:rsid w:val="00114EF5"/>
    <w:rsid w:val="0012121F"/>
    <w:rsid w:val="0012413D"/>
    <w:rsid w:val="00141154"/>
    <w:rsid w:val="00143A2D"/>
    <w:rsid w:val="00146575"/>
    <w:rsid w:val="00181902"/>
    <w:rsid w:val="00182F2C"/>
    <w:rsid w:val="00194D40"/>
    <w:rsid w:val="001C4014"/>
    <w:rsid w:val="001C60A0"/>
    <w:rsid w:val="001C7CF7"/>
    <w:rsid w:val="001D455B"/>
    <w:rsid w:val="001E4F1B"/>
    <w:rsid w:val="001F010F"/>
    <w:rsid w:val="00202A15"/>
    <w:rsid w:val="00247141"/>
    <w:rsid w:val="0025377D"/>
    <w:rsid w:val="00256F42"/>
    <w:rsid w:val="002601D2"/>
    <w:rsid w:val="002632B7"/>
    <w:rsid w:val="00270BFE"/>
    <w:rsid w:val="00271706"/>
    <w:rsid w:val="00285B1A"/>
    <w:rsid w:val="002937EF"/>
    <w:rsid w:val="00296140"/>
    <w:rsid w:val="002A2F80"/>
    <w:rsid w:val="002B7011"/>
    <w:rsid w:val="002C4383"/>
    <w:rsid w:val="002D570E"/>
    <w:rsid w:val="002E35D0"/>
    <w:rsid w:val="002E3C31"/>
    <w:rsid w:val="002F37DE"/>
    <w:rsid w:val="00300B78"/>
    <w:rsid w:val="003064D0"/>
    <w:rsid w:val="0031168D"/>
    <w:rsid w:val="00311DEB"/>
    <w:rsid w:val="00315CE6"/>
    <w:rsid w:val="00326BFC"/>
    <w:rsid w:val="003323C6"/>
    <w:rsid w:val="00335C75"/>
    <w:rsid w:val="00336984"/>
    <w:rsid w:val="0034260E"/>
    <w:rsid w:val="00361D67"/>
    <w:rsid w:val="00382A3B"/>
    <w:rsid w:val="00385EA5"/>
    <w:rsid w:val="003B0E82"/>
    <w:rsid w:val="003B78EA"/>
    <w:rsid w:val="003D43BE"/>
    <w:rsid w:val="003E4532"/>
    <w:rsid w:val="003E5787"/>
    <w:rsid w:val="003E6E28"/>
    <w:rsid w:val="003F3F7F"/>
    <w:rsid w:val="003F7C31"/>
    <w:rsid w:val="004105DE"/>
    <w:rsid w:val="0041619A"/>
    <w:rsid w:val="004219B9"/>
    <w:rsid w:val="00436228"/>
    <w:rsid w:val="00457E9C"/>
    <w:rsid w:val="00461F3A"/>
    <w:rsid w:val="00471CFE"/>
    <w:rsid w:val="00486B05"/>
    <w:rsid w:val="00495E42"/>
    <w:rsid w:val="0049711F"/>
    <w:rsid w:val="004A65F4"/>
    <w:rsid w:val="004D1D1E"/>
    <w:rsid w:val="004F37CB"/>
    <w:rsid w:val="004F4798"/>
    <w:rsid w:val="004F7B35"/>
    <w:rsid w:val="00501AD3"/>
    <w:rsid w:val="00505DB2"/>
    <w:rsid w:val="00524BE5"/>
    <w:rsid w:val="00525277"/>
    <w:rsid w:val="00527078"/>
    <w:rsid w:val="00531528"/>
    <w:rsid w:val="00535C44"/>
    <w:rsid w:val="00540F48"/>
    <w:rsid w:val="00546D2C"/>
    <w:rsid w:val="00560242"/>
    <w:rsid w:val="0056151B"/>
    <w:rsid w:val="00563660"/>
    <w:rsid w:val="0056676C"/>
    <w:rsid w:val="005907E0"/>
    <w:rsid w:val="00593A42"/>
    <w:rsid w:val="00595EDC"/>
    <w:rsid w:val="005B2E32"/>
    <w:rsid w:val="005C704E"/>
    <w:rsid w:val="005D1304"/>
    <w:rsid w:val="005D40CC"/>
    <w:rsid w:val="005E2346"/>
    <w:rsid w:val="005E3B64"/>
    <w:rsid w:val="005F7B37"/>
    <w:rsid w:val="00612EAC"/>
    <w:rsid w:val="00613813"/>
    <w:rsid w:val="00613942"/>
    <w:rsid w:val="006202EB"/>
    <w:rsid w:val="00622C4D"/>
    <w:rsid w:val="006307F7"/>
    <w:rsid w:val="00630FEB"/>
    <w:rsid w:val="00636815"/>
    <w:rsid w:val="00641EFB"/>
    <w:rsid w:val="0066301F"/>
    <w:rsid w:val="0067033F"/>
    <w:rsid w:val="0067098A"/>
    <w:rsid w:val="006869AC"/>
    <w:rsid w:val="00690CEC"/>
    <w:rsid w:val="006E06BA"/>
    <w:rsid w:val="006F56AF"/>
    <w:rsid w:val="006F6ED7"/>
    <w:rsid w:val="006F7448"/>
    <w:rsid w:val="0070268B"/>
    <w:rsid w:val="007054EF"/>
    <w:rsid w:val="00714A9A"/>
    <w:rsid w:val="00725760"/>
    <w:rsid w:val="00727B4E"/>
    <w:rsid w:val="0074231E"/>
    <w:rsid w:val="007526AB"/>
    <w:rsid w:val="00774168"/>
    <w:rsid w:val="007877FC"/>
    <w:rsid w:val="00792ABF"/>
    <w:rsid w:val="007A35BB"/>
    <w:rsid w:val="007B0E3E"/>
    <w:rsid w:val="007C024A"/>
    <w:rsid w:val="007C0C66"/>
    <w:rsid w:val="007D537E"/>
    <w:rsid w:val="007E0D81"/>
    <w:rsid w:val="007F7711"/>
    <w:rsid w:val="007F784B"/>
    <w:rsid w:val="00810FC2"/>
    <w:rsid w:val="00815E30"/>
    <w:rsid w:val="00823C2E"/>
    <w:rsid w:val="00831AA2"/>
    <w:rsid w:val="00837624"/>
    <w:rsid w:val="00850874"/>
    <w:rsid w:val="00851069"/>
    <w:rsid w:val="0086152D"/>
    <w:rsid w:val="00864AD9"/>
    <w:rsid w:val="00877EC1"/>
    <w:rsid w:val="008A15F1"/>
    <w:rsid w:val="008C01C4"/>
    <w:rsid w:val="008C26F6"/>
    <w:rsid w:val="008C51D7"/>
    <w:rsid w:val="008C7FF0"/>
    <w:rsid w:val="008D4A57"/>
    <w:rsid w:val="008E34AB"/>
    <w:rsid w:val="008E4C3A"/>
    <w:rsid w:val="008E6B0F"/>
    <w:rsid w:val="0090314A"/>
    <w:rsid w:val="00907C71"/>
    <w:rsid w:val="00911952"/>
    <w:rsid w:val="00913810"/>
    <w:rsid w:val="00916D17"/>
    <w:rsid w:val="009206FE"/>
    <w:rsid w:val="00935ACE"/>
    <w:rsid w:val="00941EF6"/>
    <w:rsid w:val="00944199"/>
    <w:rsid w:val="00951E8C"/>
    <w:rsid w:val="00954B87"/>
    <w:rsid w:val="009622C6"/>
    <w:rsid w:val="00997476"/>
    <w:rsid w:val="00997FDF"/>
    <w:rsid w:val="009A1830"/>
    <w:rsid w:val="009A2D9B"/>
    <w:rsid w:val="009A7286"/>
    <w:rsid w:val="009B3132"/>
    <w:rsid w:val="009B390D"/>
    <w:rsid w:val="009B57B2"/>
    <w:rsid w:val="009B76DB"/>
    <w:rsid w:val="009C5DC3"/>
    <w:rsid w:val="009C65D8"/>
    <w:rsid w:val="009D4F48"/>
    <w:rsid w:val="009E06F1"/>
    <w:rsid w:val="009F1E14"/>
    <w:rsid w:val="00A001E2"/>
    <w:rsid w:val="00A11E27"/>
    <w:rsid w:val="00A12524"/>
    <w:rsid w:val="00A1528D"/>
    <w:rsid w:val="00A1652A"/>
    <w:rsid w:val="00A27CF5"/>
    <w:rsid w:val="00A30386"/>
    <w:rsid w:val="00A359CB"/>
    <w:rsid w:val="00A416DE"/>
    <w:rsid w:val="00A46616"/>
    <w:rsid w:val="00A5635C"/>
    <w:rsid w:val="00A61D14"/>
    <w:rsid w:val="00A6410B"/>
    <w:rsid w:val="00A66C4D"/>
    <w:rsid w:val="00A80C36"/>
    <w:rsid w:val="00A85A1E"/>
    <w:rsid w:val="00AA71D0"/>
    <w:rsid w:val="00AB10F4"/>
    <w:rsid w:val="00AC7D5C"/>
    <w:rsid w:val="00AD2FEF"/>
    <w:rsid w:val="00AD7CEB"/>
    <w:rsid w:val="00AE0FA8"/>
    <w:rsid w:val="00B23C13"/>
    <w:rsid w:val="00B459A5"/>
    <w:rsid w:val="00B47DC2"/>
    <w:rsid w:val="00B56DE6"/>
    <w:rsid w:val="00B608E7"/>
    <w:rsid w:val="00B63188"/>
    <w:rsid w:val="00B67641"/>
    <w:rsid w:val="00B737DA"/>
    <w:rsid w:val="00B82ABF"/>
    <w:rsid w:val="00B91C89"/>
    <w:rsid w:val="00BB0BDC"/>
    <w:rsid w:val="00BC42A2"/>
    <w:rsid w:val="00BC66A7"/>
    <w:rsid w:val="00BD05F0"/>
    <w:rsid w:val="00BD4026"/>
    <w:rsid w:val="00BD5DD3"/>
    <w:rsid w:val="00BE742C"/>
    <w:rsid w:val="00C07F97"/>
    <w:rsid w:val="00C12DE5"/>
    <w:rsid w:val="00C14B1C"/>
    <w:rsid w:val="00C20084"/>
    <w:rsid w:val="00C211D0"/>
    <w:rsid w:val="00C25A89"/>
    <w:rsid w:val="00C272A2"/>
    <w:rsid w:val="00C31656"/>
    <w:rsid w:val="00C32290"/>
    <w:rsid w:val="00C3291B"/>
    <w:rsid w:val="00C33CED"/>
    <w:rsid w:val="00C50F16"/>
    <w:rsid w:val="00C60E66"/>
    <w:rsid w:val="00C74737"/>
    <w:rsid w:val="00C747F3"/>
    <w:rsid w:val="00C8206A"/>
    <w:rsid w:val="00C85F55"/>
    <w:rsid w:val="00C919F8"/>
    <w:rsid w:val="00C9665A"/>
    <w:rsid w:val="00C976BC"/>
    <w:rsid w:val="00CA0E57"/>
    <w:rsid w:val="00CA1591"/>
    <w:rsid w:val="00CB6024"/>
    <w:rsid w:val="00CE177A"/>
    <w:rsid w:val="00CF630E"/>
    <w:rsid w:val="00D01E6C"/>
    <w:rsid w:val="00D16940"/>
    <w:rsid w:val="00D3083C"/>
    <w:rsid w:val="00D523DD"/>
    <w:rsid w:val="00D529AD"/>
    <w:rsid w:val="00D571BB"/>
    <w:rsid w:val="00D70C89"/>
    <w:rsid w:val="00D878E0"/>
    <w:rsid w:val="00D90696"/>
    <w:rsid w:val="00D9485E"/>
    <w:rsid w:val="00D960F5"/>
    <w:rsid w:val="00D974B9"/>
    <w:rsid w:val="00D97768"/>
    <w:rsid w:val="00D979E6"/>
    <w:rsid w:val="00DA3353"/>
    <w:rsid w:val="00DB6E36"/>
    <w:rsid w:val="00DC6853"/>
    <w:rsid w:val="00DD15E8"/>
    <w:rsid w:val="00DE540B"/>
    <w:rsid w:val="00DF134F"/>
    <w:rsid w:val="00DF3114"/>
    <w:rsid w:val="00E063FE"/>
    <w:rsid w:val="00E10AC6"/>
    <w:rsid w:val="00E15898"/>
    <w:rsid w:val="00E43DEB"/>
    <w:rsid w:val="00E47927"/>
    <w:rsid w:val="00E52B7A"/>
    <w:rsid w:val="00E7692F"/>
    <w:rsid w:val="00E8069D"/>
    <w:rsid w:val="00E83B70"/>
    <w:rsid w:val="00EA3104"/>
    <w:rsid w:val="00EC380D"/>
    <w:rsid w:val="00EC631F"/>
    <w:rsid w:val="00EE4984"/>
    <w:rsid w:val="00EF7D5A"/>
    <w:rsid w:val="00F03FC5"/>
    <w:rsid w:val="00F047EE"/>
    <w:rsid w:val="00F0557E"/>
    <w:rsid w:val="00F1160A"/>
    <w:rsid w:val="00F32817"/>
    <w:rsid w:val="00F43FC7"/>
    <w:rsid w:val="00F60CAC"/>
    <w:rsid w:val="00F73EC9"/>
    <w:rsid w:val="00F80A7D"/>
    <w:rsid w:val="00F83BBA"/>
    <w:rsid w:val="00F85136"/>
    <w:rsid w:val="00F972CC"/>
    <w:rsid w:val="00FA5B6E"/>
    <w:rsid w:val="00FA68CE"/>
    <w:rsid w:val="00FB0E2D"/>
    <w:rsid w:val="00FB3D26"/>
    <w:rsid w:val="00FC759F"/>
    <w:rsid w:val="00FD7F1B"/>
    <w:rsid w:val="00FE11A0"/>
    <w:rsid w:val="00FE2E59"/>
    <w:rsid w:val="00FE38E2"/>
    <w:rsid w:val="00FE4B26"/>
    <w:rsid w:val="00FE63CB"/>
    <w:rsid w:val="00FE7717"/>
    <w:rsid w:val="00FF4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8097A"/>
  <w15:docId w15:val="{359D1388-83ED-4D59-9783-756B21ACC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pPr>
      <w:tabs>
        <w:tab w:val="center" w:pos="4819"/>
        <w:tab w:val="right" w:pos="9638"/>
      </w:tabs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Pidipagina">
    <w:name w:val="footer"/>
    <w:pPr>
      <w:tabs>
        <w:tab w:val="center" w:pos="4819"/>
        <w:tab w:val="right" w:pos="9638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IntestazioneepidipaginaA">
    <w:name w:val="Intestazione e piè di pagina 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</w:rPr>
  </w:style>
  <w:style w:type="character" w:styleId="Menzionenonrisolta">
    <w:name w:val="Unresolved Mention"/>
    <w:basedOn w:val="Carpredefinitoparagrafo"/>
    <w:uiPriority w:val="99"/>
    <w:semiHidden/>
    <w:unhideWhenUsed/>
    <w:rsid w:val="00C919F8"/>
    <w:rPr>
      <w:color w:val="605E5C"/>
      <w:shd w:val="clear" w:color="auto" w:fill="E1DFDD"/>
    </w:rPr>
  </w:style>
  <w:style w:type="paragraph" w:customStyle="1" w:styleId="isselectedend">
    <w:name w:val="isselectedend"/>
    <w:basedOn w:val="Normale"/>
    <w:rsid w:val="00021AE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styleId="Enfasigrassetto">
    <w:name w:val="Strong"/>
    <w:basedOn w:val="Carpredefinitoparagrafo"/>
    <w:uiPriority w:val="22"/>
    <w:qFormat/>
    <w:rsid w:val="00021AE0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021AE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19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riacqua.com/page/avvisi-utenz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 Miranda</dc:creator>
  <cp:lastModifiedBy>Marina Miranda</cp:lastModifiedBy>
  <cp:revision>2</cp:revision>
  <cp:lastPrinted>2026-08-04T14:39:00Z</cp:lastPrinted>
  <dcterms:created xsi:type="dcterms:W3CDTF">2026-09-19T08:43:00Z</dcterms:created>
  <dcterms:modified xsi:type="dcterms:W3CDTF">2026-09-19T08:43:00Z</dcterms:modified>
</cp:coreProperties>
</file>